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15" w:rsidRDefault="003A1015" w:rsidP="003A1015">
      <w:pPr>
        <w:pStyle w:val="1"/>
        <w:keepNext w:val="0"/>
        <w:widowControl w:val="0"/>
        <w:spacing w:before="0" w:after="0"/>
        <w:ind w:hanging="431"/>
        <w:rPr>
          <w:sz w:val="22"/>
          <w:szCs w:val="22"/>
        </w:rPr>
      </w:pPr>
      <w:r w:rsidRPr="00D0700C">
        <w:rPr>
          <w:sz w:val="22"/>
          <w:szCs w:val="22"/>
        </w:rPr>
        <w:t>ТЕХНИЧЕСКОЕ ЗАДАНИЕ</w:t>
      </w:r>
    </w:p>
    <w:p w:rsidR="003A1015" w:rsidRPr="00D0700C" w:rsidRDefault="003A1015" w:rsidP="005645B1">
      <w:pPr>
        <w:widowControl w:val="0"/>
        <w:autoSpaceDE w:val="0"/>
        <w:autoSpaceDN w:val="0"/>
        <w:adjustRightInd w:val="0"/>
        <w:jc w:val="center"/>
        <w:rPr>
          <w:b/>
        </w:rPr>
      </w:pPr>
      <w:r w:rsidRPr="002951BE">
        <w:rPr>
          <w:b/>
        </w:rPr>
        <w:t xml:space="preserve">на поставку </w:t>
      </w:r>
      <w:r w:rsidR="00A86170">
        <w:rPr>
          <w:b/>
        </w:rPr>
        <w:t xml:space="preserve">сценического </w:t>
      </w:r>
      <w:r w:rsidRPr="00D0700C">
        <w:rPr>
          <w:b/>
        </w:rPr>
        <w:t>светов</w:t>
      </w:r>
      <w:r>
        <w:rPr>
          <w:b/>
        </w:rPr>
        <w:t>ого оборудов</w:t>
      </w:r>
      <w:r w:rsidR="005645B1">
        <w:rPr>
          <w:b/>
        </w:rPr>
        <w:t xml:space="preserve">ания </w:t>
      </w:r>
      <w:r w:rsidRPr="00D0700C">
        <w:rPr>
          <w:b/>
        </w:rPr>
        <w:t>для ну</w:t>
      </w:r>
      <w:r w:rsidR="00A86170">
        <w:rPr>
          <w:b/>
        </w:rPr>
        <w:t>жд муниципального автономного</w:t>
      </w:r>
      <w:r w:rsidR="00B100AF">
        <w:rPr>
          <w:b/>
        </w:rPr>
        <w:t xml:space="preserve"> </w:t>
      </w:r>
      <w:r w:rsidRPr="00D0700C">
        <w:rPr>
          <w:b/>
        </w:rPr>
        <w:t>учреждения культуры</w:t>
      </w:r>
      <w:r w:rsidR="00A86170">
        <w:rPr>
          <w:b/>
        </w:rPr>
        <w:t xml:space="preserve"> городского округа город Нефтекамск Республики Башкортостан</w:t>
      </w:r>
      <w:r w:rsidRPr="00D0700C">
        <w:rPr>
          <w:b/>
        </w:rPr>
        <w:t xml:space="preserve"> </w:t>
      </w:r>
      <w:r w:rsidR="00A86170">
        <w:rPr>
          <w:b/>
        </w:rPr>
        <w:t>«</w:t>
      </w:r>
      <w:r w:rsidR="00B100AF">
        <w:rPr>
          <w:b/>
        </w:rPr>
        <w:t>Городской Центр Культуры</w:t>
      </w:r>
      <w:r w:rsidR="00A86170">
        <w:rPr>
          <w:b/>
        </w:rPr>
        <w:t xml:space="preserve">» </w:t>
      </w:r>
    </w:p>
    <w:p w:rsidR="003A1015" w:rsidRPr="002951BE" w:rsidRDefault="003A1015" w:rsidP="00B100AF">
      <w:pPr>
        <w:widowControl w:val="0"/>
        <w:autoSpaceDE w:val="0"/>
        <w:autoSpaceDN w:val="0"/>
        <w:adjustRightInd w:val="0"/>
        <w:rPr>
          <w:b/>
        </w:rPr>
      </w:pPr>
    </w:p>
    <w:p w:rsidR="003A1015" w:rsidRPr="002951BE" w:rsidRDefault="003A1015" w:rsidP="003A1015">
      <w:pPr>
        <w:jc w:val="center"/>
      </w:pPr>
    </w:p>
    <w:p w:rsidR="003A1015" w:rsidRDefault="003A1015" w:rsidP="003A1015">
      <w:pPr>
        <w:numPr>
          <w:ilvl w:val="0"/>
          <w:numId w:val="1"/>
        </w:numPr>
        <w:tabs>
          <w:tab w:val="num" w:pos="284"/>
        </w:tabs>
        <w:autoSpaceDE w:val="0"/>
        <w:autoSpaceDN w:val="0"/>
        <w:adjustRightInd w:val="0"/>
        <w:ind w:left="0" w:firstLine="709"/>
      </w:pPr>
      <w:r w:rsidRPr="002951BE">
        <w:rPr>
          <w:b/>
        </w:rPr>
        <w:t>Объект закупки</w:t>
      </w:r>
      <w:r w:rsidRPr="00C62FB6">
        <w:rPr>
          <w:b/>
        </w:rPr>
        <w:t xml:space="preserve">: </w:t>
      </w:r>
      <w:r w:rsidRPr="00D0700C">
        <w:t>П</w:t>
      </w:r>
      <w:r w:rsidR="00A86170">
        <w:t xml:space="preserve">оставка сценического светового оборудования </w:t>
      </w:r>
      <w:proofErr w:type="gramStart"/>
      <w:r w:rsidR="00A86170">
        <w:t>для</w:t>
      </w:r>
      <w:proofErr w:type="gramEnd"/>
      <w:r w:rsidR="00A86170">
        <w:t xml:space="preserve"> </w:t>
      </w:r>
      <w:proofErr w:type="gramStart"/>
      <w:r w:rsidR="00A86170">
        <w:t>МАУК</w:t>
      </w:r>
      <w:proofErr w:type="gramEnd"/>
      <w:r w:rsidR="000763DE">
        <w:t xml:space="preserve"> </w:t>
      </w:r>
      <w:r w:rsidR="00A86170">
        <w:t>«Городской Центр</w:t>
      </w:r>
      <w:r w:rsidR="000763DE">
        <w:t xml:space="preserve"> Культуры</w:t>
      </w:r>
      <w:r w:rsidR="00A86170">
        <w:t>»</w:t>
      </w:r>
      <w:r w:rsidR="000763DE">
        <w:t>.</w:t>
      </w:r>
    </w:p>
    <w:p w:rsidR="003A1015" w:rsidRPr="00410F10" w:rsidRDefault="003A1015" w:rsidP="00A86170">
      <w:pPr>
        <w:ind w:firstLine="708"/>
      </w:pPr>
      <w:proofErr w:type="gramStart"/>
      <w:r w:rsidRPr="00410F10">
        <w:t>Объект закупки включает в себя пост</w:t>
      </w:r>
      <w:r w:rsidR="000763DE">
        <w:t>авку динамических световых приборов полного вращения класса «</w:t>
      </w:r>
      <w:r w:rsidR="000763DE">
        <w:rPr>
          <w:lang w:val="en-US"/>
        </w:rPr>
        <w:t>Moving</w:t>
      </w:r>
      <w:r w:rsidR="000763DE" w:rsidRPr="000763DE">
        <w:t xml:space="preserve"> </w:t>
      </w:r>
      <w:r w:rsidR="000763DE">
        <w:rPr>
          <w:lang w:val="en-US"/>
        </w:rPr>
        <w:t>Head</w:t>
      </w:r>
      <w:r w:rsidR="000763DE">
        <w:t>» типов</w:t>
      </w:r>
      <w:r w:rsidR="000763DE" w:rsidRPr="000763DE">
        <w:t xml:space="preserve"> </w:t>
      </w:r>
      <w:r w:rsidR="000763DE">
        <w:rPr>
          <w:lang w:val="en-US"/>
        </w:rPr>
        <w:t>SPOT</w:t>
      </w:r>
      <w:r w:rsidR="000763DE" w:rsidRPr="000763DE">
        <w:t xml:space="preserve">, </w:t>
      </w:r>
      <w:r w:rsidR="000763DE">
        <w:rPr>
          <w:lang w:val="en-US"/>
        </w:rPr>
        <w:t>BEAM</w:t>
      </w:r>
      <w:r w:rsidR="000763DE" w:rsidRPr="000763DE">
        <w:t xml:space="preserve">, </w:t>
      </w:r>
      <w:r w:rsidR="000763DE">
        <w:rPr>
          <w:lang w:val="en-US"/>
        </w:rPr>
        <w:t>WASH</w:t>
      </w:r>
      <w:r w:rsidR="000763DE" w:rsidRPr="000763DE">
        <w:t xml:space="preserve"> </w:t>
      </w:r>
      <w:r w:rsidR="000763DE">
        <w:t xml:space="preserve">(в том числе комбинированных приборов), световых приборов типа </w:t>
      </w:r>
      <w:r w:rsidR="000763DE">
        <w:rPr>
          <w:lang w:val="en-US"/>
        </w:rPr>
        <w:t>PAR</w:t>
      </w:r>
      <w:r w:rsidR="007F1327">
        <w:t xml:space="preserve"> и</w:t>
      </w:r>
      <w:r w:rsidR="000763DE">
        <w:t xml:space="preserve"> стоек для размещени</w:t>
      </w:r>
      <w:r w:rsidR="007F1327">
        <w:t xml:space="preserve">я световых приборов </w:t>
      </w:r>
      <w:r w:rsidR="000763DE">
        <w:t xml:space="preserve">согласно Спецификации (Приложение </w:t>
      </w:r>
      <w:r w:rsidR="000763DE">
        <w:rPr>
          <w:lang w:val="en-US"/>
        </w:rPr>
        <w:t>N</w:t>
      </w:r>
      <w:r w:rsidR="000763DE" w:rsidRPr="000763DE">
        <w:t xml:space="preserve">1 </w:t>
      </w:r>
      <w:r w:rsidR="000763DE">
        <w:t>к Техническому заданию)</w:t>
      </w:r>
      <w:r w:rsidR="00965575">
        <w:t xml:space="preserve"> </w:t>
      </w:r>
      <w:r w:rsidR="000763DE">
        <w:t xml:space="preserve">и </w:t>
      </w:r>
      <w:r w:rsidR="00965575">
        <w:t xml:space="preserve">оказание </w:t>
      </w:r>
      <w:r w:rsidR="000763DE">
        <w:t>у</w:t>
      </w:r>
      <w:r w:rsidR="00965575">
        <w:t>слуг по монт</w:t>
      </w:r>
      <w:r w:rsidR="00A86170">
        <w:t>ажу поставляемого оборудования,</w:t>
      </w:r>
      <w:r w:rsidR="00965575">
        <w:t xml:space="preserve"> пусконаладочным</w:t>
      </w:r>
      <w:r w:rsidR="000763DE">
        <w:t xml:space="preserve"> ра</w:t>
      </w:r>
      <w:r w:rsidR="00965575">
        <w:t>ботам и обучению персонала.</w:t>
      </w:r>
      <w:proofErr w:type="gramEnd"/>
    </w:p>
    <w:p w:rsidR="003A1015" w:rsidRPr="002951BE" w:rsidRDefault="003A1015" w:rsidP="003A1015">
      <w:pPr>
        <w:pStyle w:val="ConsPlusNonformat"/>
        <w:numPr>
          <w:ilvl w:val="0"/>
          <w:numId w:val="1"/>
        </w:numPr>
        <w:ind w:left="0" w:firstLine="709"/>
        <w:jc w:val="both"/>
        <w:rPr>
          <w:rFonts w:ascii="Times New Roman" w:hAnsi="Times New Roman" w:cs="Times New Roman"/>
          <w:color w:val="000000" w:themeColor="text1"/>
          <w:sz w:val="24"/>
          <w:szCs w:val="24"/>
        </w:rPr>
      </w:pPr>
      <w:r w:rsidRPr="002951BE">
        <w:rPr>
          <w:rFonts w:ascii="Times New Roman" w:hAnsi="Times New Roman" w:cs="Times New Roman"/>
          <w:b/>
          <w:color w:val="000000" w:themeColor="text1"/>
          <w:sz w:val="24"/>
          <w:szCs w:val="24"/>
        </w:rPr>
        <w:t xml:space="preserve">Количество поставляемого товара, выполняемых работ и услуг для каждой позиции и вида, номенклатуры или ассортимента: </w:t>
      </w:r>
      <w:r>
        <w:rPr>
          <w:rFonts w:ascii="Times New Roman" w:hAnsi="Times New Roman" w:cs="Times New Roman"/>
          <w:b/>
          <w:color w:val="000000" w:themeColor="text1"/>
          <w:sz w:val="24"/>
          <w:szCs w:val="24"/>
        </w:rPr>
        <w:t xml:space="preserve"> </w:t>
      </w:r>
      <w:r w:rsidRPr="00410F10">
        <w:rPr>
          <w:rFonts w:ascii="Times New Roman" w:hAnsi="Times New Roman" w:cs="Times New Roman"/>
          <w:color w:val="000000" w:themeColor="text1"/>
          <w:sz w:val="24"/>
          <w:szCs w:val="24"/>
        </w:rPr>
        <w:t>согласно Спецификации (Приложение № 1 к настоящему Технического задания).</w:t>
      </w:r>
    </w:p>
    <w:p w:rsidR="003A1015" w:rsidRDefault="003A1015" w:rsidP="003A1015">
      <w:pPr>
        <w:pStyle w:val="a4"/>
        <w:numPr>
          <w:ilvl w:val="0"/>
          <w:numId w:val="1"/>
        </w:numPr>
        <w:tabs>
          <w:tab w:val="clear" w:pos="1069"/>
          <w:tab w:val="num" w:pos="0"/>
          <w:tab w:val="left" w:pos="1134"/>
        </w:tabs>
        <w:ind w:left="0" w:firstLine="709"/>
      </w:pPr>
      <w:r w:rsidRPr="00410F10">
        <w:rPr>
          <w:b/>
          <w:color w:val="000000" w:themeColor="text1"/>
        </w:rPr>
        <w:t>Требования к качественным</w:t>
      </w:r>
      <w:r>
        <w:rPr>
          <w:b/>
          <w:color w:val="000000" w:themeColor="text1"/>
        </w:rPr>
        <w:t>, техническим,</w:t>
      </w:r>
      <w:r w:rsidRPr="005B585A">
        <w:rPr>
          <w:b/>
          <w:color w:val="000000" w:themeColor="text1"/>
        </w:rPr>
        <w:t xml:space="preserve"> </w:t>
      </w:r>
      <w:r w:rsidRPr="00410F10">
        <w:rPr>
          <w:b/>
          <w:color w:val="000000" w:themeColor="text1"/>
        </w:rPr>
        <w:t>функциональным характеристикам</w:t>
      </w:r>
      <w:r>
        <w:rPr>
          <w:b/>
          <w:color w:val="000000" w:themeColor="text1"/>
        </w:rPr>
        <w:t xml:space="preserve"> </w:t>
      </w:r>
      <w:r w:rsidRPr="00410F10">
        <w:rPr>
          <w:b/>
          <w:color w:val="000000" w:themeColor="text1"/>
        </w:rPr>
        <w:t>товаров</w:t>
      </w:r>
      <w:r>
        <w:rPr>
          <w:b/>
          <w:color w:val="000000" w:themeColor="text1"/>
        </w:rPr>
        <w:t>:</w:t>
      </w:r>
      <w:r w:rsidRPr="002951BE">
        <w:t xml:space="preserve"> </w:t>
      </w:r>
      <w:r>
        <w:t xml:space="preserve"> согласно Приложению № 2 к</w:t>
      </w:r>
      <w:r>
        <w:rPr>
          <w:color w:val="000000" w:themeColor="text1"/>
        </w:rPr>
        <w:t xml:space="preserve"> </w:t>
      </w:r>
      <w:r w:rsidRPr="00410F10">
        <w:rPr>
          <w:color w:val="000000" w:themeColor="text1"/>
        </w:rPr>
        <w:t xml:space="preserve"> настоящему Технического задания</w:t>
      </w:r>
      <w:r>
        <w:rPr>
          <w:color w:val="000000" w:themeColor="text1"/>
        </w:rPr>
        <w:t>.</w:t>
      </w:r>
    </w:p>
    <w:p w:rsidR="003A1015" w:rsidRPr="002951BE" w:rsidRDefault="003A1015" w:rsidP="003A1015">
      <w:pPr>
        <w:pStyle w:val="a4"/>
        <w:numPr>
          <w:ilvl w:val="0"/>
          <w:numId w:val="1"/>
        </w:numPr>
        <w:tabs>
          <w:tab w:val="num" w:pos="284"/>
        </w:tabs>
        <w:ind w:left="0" w:firstLine="708"/>
        <w:contextualSpacing/>
      </w:pPr>
      <w:r w:rsidRPr="00B43ABE">
        <w:rPr>
          <w:b/>
        </w:rPr>
        <w:t>Сопутствующие работы, услуги, перечень, сроки выполнения, требования к выполнению:</w:t>
      </w:r>
      <w:r w:rsidRPr="002951BE">
        <w:t xml:space="preserve"> </w:t>
      </w:r>
      <w:r>
        <w:t xml:space="preserve"> </w:t>
      </w:r>
      <w:r w:rsidR="00241673">
        <w:t>Поставщик должен обеспечить доставку</w:t>
      </w:r>
      <w:r w:rsidRPr="002951BE">
        <w:t xml:space="preserve">, </w:t>
      </w:r>
      <w:r w:rsidR="00241673">
        <w:t>разгрузку</w:t>
      </w:r>
      <w:r w:rsidRPr="002951BE">
        <w:t xml:space="preserve"> и складирование </w:t>
      </w:r>
      <w:r w:rsidR="00241673">
        <w:t xml:space="preserve">товара </w:t>
      </w:r>
      <w:r w:rsidRPr="002951BE">
        <w:t>на складе Заказчика или по ино</w:t>
      </w:r>
      <w:r w:rsidR="00241673">
        <w:t xml:space="preserve">му указанному Заказчиком адресу. Поставщик должен выполнить </w:t>
      </w:r>
      <w:r w:rsidR="008B3327">
        <w:t>все необходимые монтажные</w:t>
      </w:r>
      <w:r w:rsidR="00241673">
        <w:t xml:space="preserve"> и пус</w:t>
      </w:r>
      <w:r w:rsidR="008B3327">
        <w:t>коналадочные</w:t>
      </w:r>
      <w:r w:rsidR="00241673">
        <w:t xml:space="preserve"> работ</w:t>
      </w:r>
      <w:r w:rsidR="008B3327">
        <w:t>ы</w:t>
      </w:r>
      <w:r w:rsidR="00241673">
        <w:t xml:space="preserve"> по введению в эксплуатацию поставляемого оборудования и интеграции его в существующий светотехнический комплекс на условиях и в сроки, оговоренные в Государственном контракте</w:t>
      </w:r>
      <w:r w:rsidR="008B3327">
        <w:t>.</w:t>
      </w:r>
      <w:r w:rsidR="008B3327" w:rsidRPr="008B3327">
        <w:t xml:space="preserve"> </w:t>
      </w:r>
      <w:r w:rsidR="008B3327">
        <w:t>Работы по пуско-наладке</w:t>
      </w:r>
      <w:r w:rsidR="008B3327" w:rsidRPr="00C62FB6">
        <w:t xml:space="preserve"> оборудования должны быть </w:t>
      </w:r>
      <w:r w:rsidR="008B3327">
        <w:t xml:space="preserve">проведены </w:t>
      </w:r>
      <w:r w:rsidR="008B3327" w:rsidRPr="00C62FB6">
        <w:t>в строгом соответст</w:t>
      </w:r>
      <w:r w:rsidR="008B3327">
        <w:t>вии с технической документацией</w:t>
      </w:r>
      <w:r w:rsidR="008B3327" w:rsidRPr="00C62FB6">
        <w:t>.</w:t>
      </w:r>
    </w:p>
    <w:p w:rsidR="00241673" w:rsidRPr="008B3327" w:rsidRDefault="008B3327" w:rsidP="008B3327">
      <w:pPr>
        <w:autoSpaceDE w:val="0"/>
        <w:autoSpaceDN w:val="0"/>
        <w:contextualSpacing/>
        <w:rPr>
          <w:rFonts w:eastAsia="Calibri"/>
        </w:rPr>
      </w:pPr>
      <w:r>
        <w:rPr>
          <w:b/>
        </w:rPr>
        <w:t xml:space="preserve">          </w:t>
      </w:r>
      <w:proofErr w:type="gramStart"/>
      <w:r>
        <w:rPr>
          <w:b/>
        </w:rPr>
        <w:t>5.</w:t>
      </w:r>
      <w:r w:rsidR="003A1015" w:rsidRPr="008B3327">
        <w:rPr>
          <w:b/>
        </w:rPr>
        <w:t>Общие требования к работам, услугам, товарам, требования по объему гарантий качества, требования по сроку гарантий качес</w:t>
      </w:r>
      <w:r w:rsidR="00241673" w:rsidRPr="008B3327">
        <w:rPr>
          <w:b/>
        </w:rPr>
        <w:t xml:space="preserve">тва на результаты осуществления </w:t>
      </w:r>
      <w:r w:rsidR="003A1015" w:rsidRPr="008B3327">
        <w:rPr>
          <w:b/>
        </w:rPr>
        <w:t>закупок:</w:t>
      </w:r>
      <w:r w:rsidR="00241673" w:rsidRPr="008B3327">
        <w:rPr>
          <w:b/>
        </w:rPr>
        <w:t xml:space="preserve"> </w:t>
      </w:r>
      <w:r w:rsidR="00241673" w:rsidRPr="008B3327">
        <w:rPr>
          <w:rFonts w:eastAsia="Calibri"/>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r w:rsidRPr="008B3327">
        <w:rPr>
          <w:rFonts w:eastAsia="Calibri"/>
        </w:rPr>
        <w:t xml:space="preserve"> </w:t>
      </w:r>
      <w:r w:rsidR="00241673" w:rsidRPr="008B3327">
        <w:rPr>
          <w:rFonts w:eastAsia="Calibri"/>
          <w:lang w:eastAsia="en-US"/>
        </w:rPr>
        <w:t>Каждая единица закупаемого Товара должна быть обеспечена комплектом документации на русском языке, включающим инструкции по эксплуатации и другую документацию, поставляемую фирмой-производителем, в том числе гарантийные обязательства и информацию о наличии сервисных центров, адреса и способы связи с ними.</w:t>
      </w:r>
      <w:r w:rsidR="00241673" w:rsidRPr="00241673">
        <w:t xml:space="preserve"> Поставщик должен обеспечить упаковку Товара, способную предотвратить его повреждение или порчу в период доставки (транспортировки) к Заказчику.</w:t>
      </w:r>
      <w:r w:rsidR="00EF5878" w:rsidRPr="00EF5878">
        <w:rPr>
          <w:bCs/>
        </w:rPr>
        <w:t xml:space="preserve"> </w:t>
      </w:r>
      <w:r w:rsidR="00EF5878" w:rsidRPr="002951BE">
        <w:t>Упаковка (тара)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8B3327" w:rsidRPr="008B3327" w:rsidRDefault="008B3327" w:rsidP="008B3327">
      <w:pPr>
        <w:autoSpaceDE w:val="0"/>
        <w:autoSpaceDN w:val="0"/>
        <w:contextualSpacing/>
        <w:rPr>
          <w:rFonts w:eastAsia="Calibri"/>
          <w:b/>
        </w:rPr>
      </w:pPr>
      <w:r>
        <w:t xml:space="preserve">Поставляемый Товар </w:t>
      </w:r>
      <w:r w:rsidRPr="008B3327">
        <w:t>должен иметь гарантию, предоставляемую Поставщиком, со сроком действия не менее чем 12 месяцев со дня поставки Товара, при этом срок действия гарантии Поставщика должен быть не менее чем срок действия гарантии, предоставляемой Производителем данного Товара.</w:t>
      </w:r>
    </w:p>
    <w:p w:rsidR="008B3327" w:rsidRPr="008B3327" w:rsidRDefault="008B3327" w:rsidP="008B3327">
      <w:pPr>
        <w:autoSpaceDE w:val="0"/>
        <w:autoSpaceDN w:val="0"/>
        <w:contextualSpacing/>
        <w:rPr>
          <w:rFonts w:eastAsia="Calibri"/>
          <w:b/>
        </w:rPr>
      </w:pPr>
      <w:r w:rsidRPr="008B3327">
        <w:t>Гарантия предоставляется вместе с Товаром и подтверждается выдачей гарантийного талона (сертификата), либо проставлением соответствующей записи в паспорте (формуляре) поставленного Товара, либо иным способом соответствующим законодательству Российской Федерации.</w:t>
      </w:r>
      <w:r>
        <w:rPr>
          <w:rFonts w:eastAsia="Calibri"/>
          <w:b/>
        </w:rPr>
        <w:t xml:space="preserve"> </w:t>
      </w:r>
      <w:r w:rsidRPr="008B3327">
        <w:t xml:space="preserve">Гарантия, в случае выхода Товара из строя, </w:t>
      </w:r>
      <w:r w:rsidRPr="008B3327">
        <w:lastRenderedPageBreak/>
        <w:t>должна предусматривать выезд сотрудников сервисной службы Поставщика на место установки Товара, а в случае невозможности осуществления гарантийного ремонта на территории Заказчика, доставка до сервисного центра и обратно в течение гарантийного срока осуществляется Поставщиком за счет его средств.</w:t>
      </w:r>
      <w:r>
        <w:rPr>
          <w:rFonts w:eastAsia="Calibri"/>
          <w:b/>
        </w:rPr>
        <w:t xml:space="preserve"> </w:t>
      </w:r>
      <w:r w:rsidRPr="008B3327">
        <w:t>Гарантия Поставщика и Производителя должна распространяться на все поставляемые Товары и комплектующие.</w:t>
      </w:r>
    </w:p>
    <w:p w:rsidR="008B3327" w:rsidRPr="008B3327" w:rsidRDefault="008B3327" w:rsidP="008B3327">
      <w:pPr>
        <w:autoSpaceDE w:val="0"/>
        <w:autoSpaceDN w:val="0"/>
        <w:contextualSpacing/>
        <w:rPr>
          <w:rFonts w:eastAsia="Calibri"/>
          <w:b/>
        </w:rPr>
      </w:pPr>
      <w:r w:rsidRPr="008B3327">
        <w:t xml:space="preserve">Оперативное выполнение гарантийных обязательств подразумевает поддержку Поставщиком «горячей линии» (список лиц Поставщика, осуществляющих сервис, их телефоны и адреса электронной почты передаются Заказчику весте с Товаром), с </w:t>
      </w:r>
      <w:proofErr w:type="gramStart"/>
      <w:r w:rsidRPr="008B3327">
        <w:t>помощью</w:t>
      </w:r>
      <w:proofErr w:type="gramEnd"/>
      <w:r w:rsidRPr="008B3327">
        <w:t xml:space="preserve"> которой представитель Заказчика может информировать о дефектах в работе Товара. Поставщик по согласованию с Заказчиком определяет оперативность реакции на запрос о неисправности или проблемах функционирования Товара (при необходимости с выездом на территорию Заказчика) следующими сроками: не позднее чем в течение двух рабочих дней со дня оповещения, исключая выходные и праздничные дни.</w:t>
      </w:r>
    </w:p>
    <w:p w:rsidR="008B3327" w:rsidRPr="008B3327" w:rsidRDefault="008B3327" w:rsidP="008B3327">
      <w:pPr>
        <w:autoSpaceDE w:val="0"/>
        <w:autoSpaceDN w:val="0"/>
        <w:contextualSpacing/>
        <w:rPr>
          <w:rFonts w:eastAsia="Calibri"/>
          <w:b/>
        </w:rPr>
      </w:pPr>
      <w:r w:rsidRPr="008B3327">
        <w:t xml:space="preserve">Запасные части, устанавливаемые в течение гарантийного периода в Товар взамен </w:t>
      </w:r>
      <w:proofErr w:type="gramStart"/>
      <w:r w:rsidRPr="008B3327">
        <w:t>неисправных</w:t>
      </w:r>
      <w:proofErr w:type="gramEnd"/>
      <w:r w:rsidRPr="008B3327">
        <w:t>, должны быть произведены и сертифицированы Производителем Товара.</w:t>
      </w:r>
    </w:p>
    <w:p w:rsidR="008B3327" w:rsidRPr="008B3327" w:rsidRDefault="008B3327" w:rsidP="008B3327">
      <w:pPr>
        <w:autoSpaceDE w:val="0"/>
        <w:autoSpaceDN w:val="0"/>
        <w:contextualSpacing/>
        <w:rPr>
          <w:rFonts w:eastAsia="Calibri"/>
          <w:b/>
        </w:rPr>
      </w:pPr>
      <w:r w:rsidRPr="008B3327">
        <w:rPr>
          <w:rFonts w:eastAsia="Calibri"/>
          <w:b/>
          <w:lang w:eastAsia="en-US"/>
        </w:rPr>
        <w:t>Требования к расходам на обслуживание товара в течение гарантийного срока</w:t>
      </w:r>
      <w:bookmarkStart w:id="0" w:name="_GoBack"/>
      <w:bookmarkEnd w:id="0"/>
      <w:r w:rsidRPr="008B3327">
        <w:rPr>
          <w:rFonts w:eastAsia="Calibri"/>
          <w:b/>
        </w:rPr>
        <w:t xml:space="preserve">: </w:t>
      </w:r>
      <w:r w:rsidRPr="008B3327">
        <w:rPr>
          <w:rFonts w:eastAsia="Calibri"/>
        </w:rPr>
        <w:t>Поставщик осуществляет гарантийное обслуживание товара без дополнительных расходов со стороны Заказчика. Расходы по возврату Товара или отправке его в ремонт, восстановлению, замене и доукомплектованию производятся за счет средств Поставщика.</w:t>
      </w:r>
    </w:p>
    <w:p w:rsidR="003A1015" w:rsidRPr="002951BE" w:rsidRDefault="003A1015" w:rsidP="008B3327">
      <w:pPr>
        <w:widowControl w:val="0"/>
        <w:tabs>
          <w:tab w:val="num" w:pos="284"/>
        </w:tabs>
        <w:autoSpaceDE w:val="0"/>
        <w:autoSpaceDN w:val="0"/>
        <w:adjustRightInd w:val="0"/>
        <w:contextualSpacing/>
      </w:pPr>
      <w:r w:rsidRPr="002951BE">
        <w:t xml:space="preserve"> </w:t>
      </w:r>
    </w:p>
    <w:p w:rsidR="003A1015" w:rsidRPr="00B87D89" w:rsidRDefault="008B3327" w:rsidP="008B3327">
      <w:pPr>
        <w:pStyle w:val="12"/>
        <w:ind w:left="0"/>
        <w:jc w:val="both"/>
      </w:pPr>
      <w:r>
        <w:rPr>
          <w:b/>
        </w:rPr>
        <w:t xml:space="preserve">6. </w:t>
      </w:r>
      <w:r w:rsidR="003A1015" w:rsidRPr="002951BE">
        <w:rPr>
          <w:b/>
        </w:rPr>
        <w:t xml:space="preserve">Сроки выполнения работ, оказания услуг и поставки товаров, календарные сроки начала и завершения поставок, периоды выполнения условий контракта: </w:t>
      </w:r>
      <w:r w:rsidR="003A1015">
        <w:t>с моме</w:t>
      </w:r>
      <w:r w:rsidR="00A86170">
        <w:t>нта даты подписания Договора в течени</w:t>
      </w:r>
      <w:proofErr w:type="gramStart"/>
      <w:r w:rsidR="00A86170">
        <w:t>и</w:t>
      </w:r>
      <w:proofErr w:type="gramEnd"/>
      <w:r w:rsidR="00A86170">
        <w:t xml:space="preserve"> </w:t>
      </w:r>
      <w:r w:rsidR="006C77EE" w:rsidRPr="006C77EE">
        <w:t xml:space="preserve">30 </w:t>
      </w:r>
      <w:r w:rsidR="00A86170" w:rsidRPr="006C77EE">
        <w:t>календарных дней</w:t>
      </w:r>
      <w:r w:rsidR="003A1015" w:rsidRPr="006C77EE">
        <w:t>.</w:t>
      </w:r>
      <w:r w:rsidR="003A1015">
        <w:t xml:space="preserve"> </w:t>
      </w:r>
      <w:r w:rsidR="003A1015" w:rsidRPr="00B87D89">
        <w:rPr>
          <w:iCs/>
        </w:rPr>
        <w:t xml:space="preserve"> </w:t>
      </w:r>
    </w:p>
    <w:p w:rsidR="003A1015" w:rsidRPr="00C62FB6" w:rsidRDefault="008B3327" w:rsidP="008B3327">
      <w:pPr>
        <w:pStyle w:val="a3"/>
        <w:spacing w:before="0" w:beforeAutospacing="0" w:after="0" w:afterAutospacing="0"/>
        <w:rPr>
          <w:b/>
        </w:rPr>
      </w:pPr>
      <w:r>
        <w:rPr>
          <w:b/>
        </w:rPr>
        <w:t xml:space="preserve">7. </w:t>
      </w:r>
      <w:r w:rsidR="003A1015" w:rsidRPr="002951BE">
        <w:rPr>
          <w:b/>
        </w:rPr>
        <w:t xml:space="preserve">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003A1015" w:rsidRPr="002951BE">
        <w:rPr>
          <w:rFonts w:eastAsia="Calibri"/>
        </w:rPr>
        <w:t>Поставка т</w:t>
      </w:r>
      <w:r w:rsidR="003A1015" w:rsidRPr="002951BE">
        <w:rPr>
          <w:bCs/>
        </w:rPr>
        <w:t>овара осуществляется по адресу</w:t>
      </w:r>
      <w:r w:rsidR="00965575">
        <w:rPr>
          <w:bCs/>
        </w:rPr>
        <w:t>: Ре</w:t>
      </w:r>
      <w:r w:rsidR="002C2C39">
        <w:rPr>
          <w:bCs/>
        </w:rPr>
        <w:t>с</w:t>
      </w:r>
      <w:r w:rsidR="00965575">
        <w:rPr>
          <w:bCs/>
        </w:rPr>
        <w:t xml:space="preserve">публика Башкортостан, </w:t>
      </w:r>
      <w:proofErr w:type="gramStart"/>
      <w:r w:rsidR="00965575">
        <w:rPr>
          <w:bCs/>
        </w:rPr>
        <w:t>г</w:t>
      </w:r>
      <w:proofErr w:type="gramEnd"/>
      <w:r w:rsidR="00965575">
        <w:rPr>
          <w:bCs/>
        </w:rPr>
        <w:t>.</w:t>
      </w:r>
      <w:r w:rsidR="002C2C39">
        <w:rPr>
          <w:bCs/>
        </w:rPr>
        <w:t xml:space="preserve"> </w:t>
      </w:r>
      <w:r w:rsidR="00965575">
        <w:rPr>
          <w:bCs/>
        </w:rPr>
        <w:t xml:space="preserve">Нефтекамск, пр. </w:t>
      </w:r>
      <w:proofErr w:type="gramStart"/>
      <w:r w:rsidR="00965575">
        <w:rPr>
          <w:bCs/>
        </w:rPr>
        <w:t xml:space="preserve">Юбилейный, д.17 </w:t>
      </w:r>
      <w:r w:rsidR="003A1015" w:rsidRPr="002951BE">
        <w:rPr>
          <w:bCs/>
        </w:rPr>
        <w:t xml:space="preserve">или по иному указанному Заказчиком адресу и за счет Исполнителя. </w:t>
      </w:r>
      <w:r w:rsidR="00EF5878">
        <w:rPr>
          <w:bCs/>
        </w:rPr>
        <w:t xml:space="preserve"> </w:t>
      </w:r>
      <w:proofErr w:type="gramEnd"/>
    </w:p>
    <w:p w:rsidR="003A1015" w:rsidRPr="002951BE" w:rsidRDefault="003A1015" w:rsidP="003A1015"/>
    <w:p w:rsidR="00392BE1" w:rsidRDefault="00392BE1"/>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tbl>
      <w:tblPr>
        <w:tblW w:w="9936" w:type="dxa"/>
        <w:tblInd w:w="93" w:type="dxa"/>
        <w:tblLook w:val="04A0"/>
      </w:tblPr>
      <w:tblGrid>
        <w:gridCol w:w="576"/>
        <w:gridCol w:w="7240"/>
        <w:gridCol w:w="860"/>
        <w:gridCol w:w="1260"/>
      </w:tblGrid>
      <w:tr w:rsidR="002C2C39" w:rsidRPr="00EE2965" w:rsidTr="004515D2">
        <w:trPr>
          <w:trHeight w:val="585"/>
        </w:trPr>
        <w:tc>
          <w:tcPr>
            <w:tcW w:w="9936" w:type="dxa"/>
            <w:gridSpan w:val="4"/>
            <w:tcBorders>
              <w:top w:val="nil"/>
              <w:left w:val="nil"/>
              <w:bottom w:val="nil"/>
              <w:right w:val="nil"/>
            </w:tcBorders>
            <w:shd w:val="clear" w:color="auto" w:fill="auto"/>
            <w:vAlign w:val="center"/>
            <w:hideMark/>
          </w:tcPr>
          <w:p w:rsidR="002C2C39" w:rsidRPr="00037263" w:rsidRDefault="002C2C39" w:rsidP="004515D2">
            <w:pPr>
              <w:jc w:val="right"/>
              <w:rPr>
                <w:b/>
                <w:bCs/>
                <w:color w:val="000000"/>
              </w:rPr>
            </w:pPr>
            <w:r w:rsidRPr="00037263">
              <w:rPr>
                <w:b/>
                <w:bCs/>
                <w:color w:val="000000"/>
              </w:rPr>
              <w:lastRenderedPageBreak/>
              <w:t>Приложение N1 к Техническому Заданию</w:t>
            </w:r>
          </w:p>
        </w:tc>
      </w:tr>
      <w:tr w:rsidR="002C2C39" w:rsidRPr="00EE2965" w:rsidTr="004515D2">
        <w:trPr>
          <w:trHeight w:val="690"/>
        </w:trPr>
        <w:tc>
          <w:tcPr>
            <w:tcW w:w="576" w:type="dxa"/>
            <w:tcBorders>
              <w:top w:val="nil"/>
              <w:left w:val="nil"/>
              <w:bottom w:val="nil"/>
              <w:right w:val="nil"/>
            </w:tcBorders>
            <w:shd w:val="clear" w:color="auto" w:fill="auto"/>
            <w:noWrap/>
            <w:vAlign w:val="bottom"/>
            <w:hideMark/>
          </w:tcPr>
          <w:p w:rsidR="002C2C39" w:rsidRPr="00EE2965" w:rsidRDefault="002C2C39" w:rsidP="004515D2">
            <w:pPr>
              <w:rPr>
                <w:rFonts w:ascii="Calibri" w:hAnsi="Calibri"/>
                <w:color w:val="000000"/>
              </w:rPr>
            </w:pPr>
          </w:p>
        </w:tc>
        <w:tc>
          <w:tcPr>
            <w:tcW w:w="7240" w:type="dxa"/>
            <w:tcBorders>
              <w:top w:val="nil"/>
              <w:left w:val="nil"/>
              <w:bottom w:val="nil"/>
              <w:right w:val="nil"/>
            </w:tcBorders>
            <w:shd w:val="clear" w:color="auto" w:fill="auto"/>
            <w:noWrap/>
            <w:vAlign w:val="center"/>
            <w:hideMark/>
          </w:tcPr>
          <w:p w:rsidR="002C2C39" w:rsidRPr="00037263" w:rsidRDefault="002C2C39" w:rsidP="004515D2">
            <w:pPr>
              <w:jc w:val="center"/>
              <w:rPr>
                <w:b/>
                <w:bCs/>
                <w:color w:val="000000"/>
                <w:sz w:val="28"/>
                <w:szCs w:val="28"/>
              </w:rPr>
            </w:pPr>
            <w:r w:rsidRPr="00037263">
              <w:rPr>
                <w:b/>
                <w:bCs/>
                <w:color w:val="000000"/>
                <w:sz w:val="28"/>
                <w:szCs w:val="28"/>
              </w:rPr>
              <w:t>СПЕЦИФИКАЦИЯ</w:t>
            </w:r>
          </w:p>
        </w:tc>
        <w:tc>
          <w:tcPr>
            <w:tcW w:w="860" w:type="dxa"/>
            <w:tcBorders>
              <w:top w:val="nil"/>
              <w:left w:val="nil"/>
              <w:bottom w:val="nil"/>
              <w:right w:val="nil"/>
            </w:tcBorders>
            <w:shd w:val="clear" w:color="auto" w:fill="auto"/>
            <w:noWrap/>
            <w:vAlign w:val="bottom"/>
            <w:hideMark/>
          </w:tcPr>
          <w:p w:rsidR="002C2C39" w:rsidRPr="00037263" w:rsidRDefault="002C2C39" w:rsidP="004515D2">
            <w:pPr>
              <w:rPr>
                <w:color w:val="000000"/>
              </w:rPr>
            </w:pPr>
          </w:p>
        </w:tc>
        <w:tc>
          <w:tcPr>
            <w:tcW w:w="1260" w:type="dxa"/>
            <w:tcBorders>
              <w:top w:val="nil"/>
              <w:left w:val="nil"/>
              <w:bottom w:val="nil"/>
              <w:right w:val="nil"/>
            </w:tcBorders>
            <w:shd w:val="clear" w:color="auto" w:fill="auto"/>
            <w:noWrap/>
            <w:vAlign w:val="bottom"/>
            <w:hideMark/>
          </w:tcPr>
          <w:p w:rsidR="002C2C39" w:rsidRPr="00037263" w:rsidRDefault="002C2C39" w:rsidP="004515D2">
            <w:pPr>
              <w:rPr>
                <w:color w:val="000000"/>
              </w:rPr>
            </w:pPr>
          </w:p>
        </w:tc>
      </w:tr>
      <w:tr w:rsidR="002C2C39" w:rsidRPr="00EE2965" w:rsidTr="004515D2">
        <w:trPr>
          <w:trHeight w:val="705"/>
        </w:trPr>
        <w:tc>
          <w:tcPr>
            <w:tcW w:w="5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2C39" w:rsidRPr="00EE2965" w:rsidRDefault="002C2C39" w:rsidP="004515D2">
            <w:pPr>
              <w:jc w:val="center"/>
              <w:rPr>
                <w:rFonts w:ascii="Calibri" w:hAnsi="Calibri"/>
                <w:b/>
                <w:bCs/>
                <w:color w:val="000000"/>
              </w:rPr>
            </w:pPr>
            <w:r w:rsidRPr="00EE2965">
              <w:rPr>
                <w:rFonts w:ascii="Calibri" w:hAnsi="Calibri"/>
                <w:b/>
                <w:bCs/>
                <w:color w:val="000000"/>
              </w:rPr>
              <w:t xml:space="preserve">N </w:t>
            </w:r>
            <w:proofErr w:type="spellStart"/>
            <w:r w:rsidRPr="00EE2965">
              <w:rPr>
                <w:rFonts w:ascii="Calibri" w:hAnsi="Calibri"/>
                <w:b/>
                <w:bCs/>
                <w:color w:val="000000"/>
              </w:rPr>
              <w:t>п\</w:t>
            </w:r>
            <w:proofErr w:type="gramStart"/>
            <w:r w:rsidRPr="00EE2965">
              <w:rPr>
                <w:rFonts w:ascii="Calibri" w:hAnsi="Calibri"/>
                <w:b/>
                <w:bCs/>
                <w:color w:val="000000"/>
              </w:rPr>
              <w:t>п</w:t>
            </w:r>
            <w:proofErr w:type="spellEnd"/>
            <w:proofErr w:type="gramEnd"/>
          </w:p>
        </w:tc>
        <w:tc>
          <w:tcPr>
            <w:tcW w:w="7240" w:type="dxa"/>
            <w:tcBorders>
              <w:top w:val="single" w:sz="8" w:space="0" w:color="auto"/>
              <w:left w:val="nil"/>
              <w:bottom w:val="single" w:sz="8" w:space="0" w:color="auto"/>
              <w:right w:val="single" w:sz="8" w:space="0" w:color="auto"/>
            </w:tcBorders>
            <w:shd w:val="clear" w:color="auto" w:fill="auto"/>
            <w:vAlign w:val="center"/>
            <w:hideMark/>
          </w:tcPr>
          <w:p w:rsidR="002C2C39" w:rsidRPr="00037263" w:rsidRDefault="002C2C39" w:rsidP="004515D2">
            <w:pPr>
              <w:jc w:val="center"/>
              <w:rPr>
                <w:b/>
                <w:bCs/>
                <w:color w:val="000000"/>
              </w:rPr>
            </w:pPr>
            <w:r w:rsidRPr="00037263">
              <w:rPr>
                <w:b/>
                <w:bCs/>
                <w:color w:val="000000"/>
              </w:rPr>
              <w:t>Наименование товаров и услуг</w:t>
            </w:r>
          </w:p>
        </w:tc>
        <w:tc>
          <w:tcPr>
            <w:tcW w:w="860" w:type="dxa"/>
            <w:tcBorders>
              <w:top w:val="single" w:sz="8" w:space="0" w:color="auto"/>
              <w:left w:val="nil"/>
              <w:bottom w:val="single" w:sz="8" w:space="0" w:color="auto"/>
              <w:right w:val="single" w:sz="8" w:space="0" w:color="auto"/>
            </w:tcBorders>
            <w:shd w:val="clear" w:color="auto" w:fill="auto"/>
            <w:vAlign w:val="center"/>
            <w:hideMark/>
          </w:tcPr>
          <w:p w:rsidR="002C2C39" w:rsidRPr="00037263" w:rsidRDefault="002C2C39" w:rsidP="004515D2">
            <w:pPr>
              <w:jc w:val="center"/>
              <w:rPr>
                <w:b/>
                <w:bCs/>
                <w:color w:val="000000"/>
              </w:rPr>
            </w:pPr>
            <w:r w:rsidRPr="00037263">
              <w:rPr>
                <w:b/>
                <w:bCs/>
                <w:color w:val="000000"/>
              </w:rPr>
              <w:t xml:space="preserve">Ед. </w:t>
            </w:r>
            <w:proofErr w:type="spellStart"/>
            <w:r w:rsidRPr="00037263">
              <w:rPr>
                <w:b/>
                <w:bCs/>
                <w:color w:val="000000"/>
              </w:rPr>
              <w:t>изм</w:t>
            </w:r>
            <w:proofErr w:type="spellEnd"/>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2C2C39" w:rsidRPr="00037263" w:rsidRDefault="002C2C39" w:rsidP="004515D2">
            <w:pPr>
              <w:jc w:val="center"/>
              <w:rPr>
                <w:b/>
                <w:bCs/>
                <w:color w:val="000000"/>
              </w:rPr>
            </w:pPr>
            <w:r w:rsidRPr="00037263">
              <w:rPr>
                <w:b/>
                <w:bCs/>
                <w:color w:val="000000"/>
              </w:rPr>
              <w:t>Кол-во</w:t>
            </w:r>
          </w:p>
        </w:tc>
      </w:tr>
      <w:tr w:rsidR="002C2C39" w:rsidRPr="00EE2965" w:rsidTr="004515D2">
        <w:trPr>
          <w:trHeight w:val="67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2C2C39" w:rsidRPr="00EE2965" w:rsidRDefault="002C2C39" w:rsidP="004515D2">
            <w:pPr>
              <w:jc w:val="center"/>
              <w:rPr>
                <w:rFonts w:ascii="Calibri" w:hAnsi="Calibri"/>
                <w:color w:val="000000"/>
              </w:rPr>
            </w:pPr>
            <w:r w:rsidRPr="00EE2965">
              <w:rPr>
                <w:rFonts w:ascii="Calibri" w:hAnsi="Calibri"/>
                <w:color w:val="000000"/>
              </w:rPr>
              <w:t>1</w:t>
            </w:r>
          </w:p>
        </w:tc>
        <w:tc>
          <w:tcPr>
            <w:tcW w:w="7240" w:type="dxa"/>
            <w:tcBorders>
              <w:top w:val="nil"/>
              <w:left w:val="nil"/>
              <w:bottom w:val="single" w:sz="4" w:space="0" w:color="auto"/>
              <w:right w:val="single" w:sz="4" w:space="0" w:color="auto"/>
            </w:tcBorders>
            <w:shd w:val="clear" w:color="auto" w:fill="auto"/>
            <w:vAlign w:val="center"/>
            <w:hideMark/>
          </w:tcPr>
          <w:p w:rsidR="002C2C39" w:rsidRPr="00EE2965" w:rsidRDefault="002C2C39" w:rsidP="004515D2">
            <w:pPr>
              <w:rPr>
                <w:rFonts w:ascii="Calibri" w:hAnsi="Calibri"/>
                <w:color w:val="000000"/>
              </w:rPr>
            </w:pPr>
            <w:r w:rsidRPr="00EE2965">
              <w:rPr>
                <w:rFonts w:ascii="Calibri" w:hAnsi="Calibri"/>
                <w:color w:val="000000"/>
              </w:rPr>
              <w:t>F400 BSW Комбинированный динамический световой прибор полного вращения класса "</w:t>
            </w:r>
            <w:proofErr w:type="spellStart"/>
            <w:r w:rsidRPr="00EE2965">
              <w:rPr>
                <w:rFonts w:ascii="Calibri" w:hAnsi="Calibri"/>
                <w:color w:val="000000"/>
              </w:rPr>
              <w:t>Moving</w:t>
            </w:r>
            <w:proofErr w:type="spellEnd"/>
            <w:r w:rsidRPr="00EE2965">
              <w:rPr>
                <w:rFonts w:ascii="Calibri" w:hAnsi="Calibri"/>
                <w:color w:val="000000"/>
              </w:rPr>
              <w:t xml:space="preserve"> </w:t>
            </w:r>
            <w:proofErr w:type="spellStart"/>
            <w:r w:rsidRPr="00EE2965">
              <w:rPr>
                <w:rFonts w:ascii="Calibri" w:hAnsi="Calibri"/>
                <w:color w:val="000000"/>
              </w:rPr>
              <w:t>Head</w:t>
            </w:r>
            <w:proofErr w:type="spellEnd"/>
            <w:r w:rsidRPr="00EE2965">
              <w:rPr>
                <w:rFonts w:ascii="Calibri" w:hAnsi="Calibri"/>
                <w:color w:val="000000"/>
              </w:rPr>
              <w:t xml:space="preserve">" типа </w:t>
            </w:r>
            <w:proofErr w:type="spellStart"/>
            <w:r w:rsidRPr="00EE2965">
              <w:rPr>
                <w:rFonts w:ascii="Calibri" w:hAnsi="Calibri"/>
                <w:color w:val="000000"/>
              </w:rPr>
              <w:t>Beam</w:t>
            </w:r>
            <w:proofErr w:type="spellEnd"/>
            <w:r w:rsidRPr="00EE2965">
              <w:rPr>
                <w:rFonts w:ascii="Calibri" w:hAnsi="Calibri"/>
                <w:color w:val="000000"/>
              </w:rPr>
              <w:t>/</w:t>
            </w:r>
            <w:proofErr w:type="spellStart"/>
            <w:r w:rsidRPr="00EE2965">
              <w:rPr>
                <w:rFonts w:ascii="Calibri" w:hAnsi="Calibri"/>
                <w:color w:val="000000"/>
              </w:rPr>
              <w:t>Spot</w:t>
            </w:r>
            <w:proofErr w:type="spellEnd"/>
            <w:r w:rsidRPr="00EE2965">
              <w:rPr>
                <w:rFonts w:ascii="Calibri" w:hAnsi="Calibri"/>
                <w:color w:val="000000"/>
              </w:rPr>
              <w:t>/</w:t>
            </w:r>
            <w:proofErr w:type="spellStart"/>
            <w:r w:rsidRPr="00EE2965">
              <w:rPr>
                <w:rFonts w:ascii="Calibri" w:hAnsi="Calibri"/>
                <w:color w:val="000000"/>
              </w:rPr>
              <w:t>Wash</w:t>
            </w:r>
            <w:proofErr w:type="spellEnd"/>
            <w:r w:rsidRPr="00EE2965">
              <w:rPr>
                <w:rFonts w:ascii="Calibri" w:hAnsi="Calibri"/>
                <w:color w:val="000000"/>
              </w:rPr>
              <w:t xml:space="preserve"> лампой </w:t>
            </w:r>
            <w:proofErr w:type="spellStart"/>
            <w:r w:rsidRPr="00EE2965">
              <w:rPr>
                <w:rFonts w:ascii="Calibri" w:hAnsi="Calibri"/>
                <w:color w:val="000000"/>
              </w:rPr>
              <w:t>Ushio</w:t>
            </w:r>
            <w:proofErr w:type="spellEnd"/>
            <w:r w:rsidRPr="00EE2965">
              <w:rPr>
                <w:rFonts w:ascii="Calibri" w:hAnsi="Calibri"/>
                <w:color w:val="000000"/>
              </w:rPr>
              <w:t xml:space="preserve"> NSL360W</w:t>
            </w:r>
          </w:p>
        </w:tc>
        <w:tc>
          <w:tcPr>
            <w:tcW w:w="860" w:type="dxa"/>
            <w:tcBorders>
              <w:top w:val="nil"/>
              <w:left w:val="nil"/>
              <w:bottom w:val="single" w:sz="4" w:space="0" w:color="auto"/>
              <w:right w:val="single" w:sz="4" w:space="0" w:color="auto"/>
            </w:tcBorders>
            <w:shd w:val="clear" w:color="auto" w:fill="auto"/>
            <w:vAlign w:val="center"/>
            <w:hideMark/>
          </w:tcPr>
          <w:p w:rsidR="002C2C39" w:rsidRPr="00EE2965" w:rsidRDefault="002C2C39" w:rsidP="004515D2">
            <w:pPr>
              <w:jc w:val="center"/>
              <w:rPr>
                <w:rFonts w:ascii="Calibri" w:hAnsi="Calibri"/>
                <w:color w:val="000000"/>
              </w:rPr>
            </w:pPr>
            <w:proofErr w:type="spellStart"/>
            <w:proofErr w:type="gramStart"/>
            <w:r w:rsidRPr="00EE2965">
              <w:rPr>
                <w:rFonts w:ascii="Calibri" w:hAnsi="Calibri"/>
                <w:color w:val="000000"/>
              </w:rPr>
              <w:t>шт</w:t>
            </w:r>
            <w:proofErr w:type="spellEnd"/>
            <w:proofErr w:type="gramEnd"/>
          </w:p>
        </w:tc>
        <w:tc>
          <w:tcPr>
            <w:tcW w:w="1260" w:type="dxa"/>
            <w:tcBorders>
              <w:top w:val="nil"/>
              <w:left w:val="nil"/>
              <w:bottom w:val="single" w:sz="4" w:space="0" w:color="auto"/>
              <w:right w:val="single" w:sz="8" w:space="0" w:color="auto"/>
            </w:tcBorders>
            <w:shd w:val="clear" w:color="auto" w:fill="auto"/>
            <w:vAlign w:val="center"/>
            <w:hideMark/>
          </w:tcPr>
          <w:p w:rsidR="002C2C39" w:rsidRPr="00EE2965" w:rsidRDefault="002C2C39" w:rsidP="004515D2">
            <w:pPr>
              <w:jc w:val="center"/>
              <w:rPr>
                <w:rFonts w:ascii="Calibri" w:hAnsi="Calibri"/>
                <w:color w:val="000000"/>
              </w:rPr>
            </w:pPr>
            <w:r w:rsidRPr="00EE2965">
              <w:rPr>
                <w:rFonts w:ascii="Calibri" w:hAnsi="Calibri"/>
                <w:color w:val="000000"/>
              </w:rPr>
              <w:t>2</w:t>
            </w:r>
          </w:p>
        </w:tc>
      </w:tr>
      <w:tr w:rsidR="002C2C39" w:rsidRPr="00EE2965" w:rsidTr="004515D2">
        <w:trPr>
          <w:trHeight w:val="78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2C2C39" w:rsidRPr="00EE2965" w:rsidRDefault="002C2C39" w:rsidP="004515D2">
            <w:pPr>
              <w:jc w:val="center"/>
              <w:rPr>
                <w:rFonts w:ascii="Calibri" w:hAnsi="Calibri"/>
                <w:color w:val="000000"/>
              </w:rPr>
            </w:pPr>
            <w:r w:rsidRPr="00EE2965">
              <w:rPr>
                <w:rFonts w:ascii="Calibri" w:hAnsi="Calibri"/>
                <w:color w:val="000000"/>
              </w:rPr>
              <w:t>2</w:t>
            </w:r>
          </w:p>
        </w:tc>
        <w:tc>
          <w:tcPr>
            <w:tcW w:w="7240" w:type="dxa"/>
            <w:tcBorders>
              <w:top w:val="nil"/>
              <w:left w:val="nil"/>
              <w:bottom w:val="single" w:sz="4" w:space="0" w:color="auto"/>
              <w:right w:val="single" w:sz="4" w:space="0" w:color="auto"/>
            </w:tcBorders>
            <w:shd w:val="clear" w:color="auto" w:fill="auto"/>
            <w:vAlign w:val="center"/>
            <w:hideMark/>
          </w:tcPr>
          <w:p w:rsidR="002C2C39" w:rsidRPr="00EE2965" w:rsidRDefault="002C2C39" w:rsidP="004515D2">
            <w:pPr>
              <w:rPr>
                <w:rFonts w:ascii="Calibri" w:hAnsi="Calibri"/>
                <w:color w:val="000000"/>
              </w:rPr>
            </w:pPr>
            <w:r>
              <w:rPr>
                <w:rFonts w:ascii="Calibri" w:hAnsi="Calibri"/>
                <w:color w:val="000000"/>
              </w:rPr>
              <w:t>SPOT 300</w:t>
            </w:r>
            <w:r w:rsidRPr="00EE2965">
              <w:rPr>
                <w:rFonts w:ascii="Calibri" w:hAnsi="Calibri"/>
                <w:color w:val="000000"/>
              </w:rPr>
              <w:t xml:space="preserve"> Динамический световой прибор полного вращения класса "</w:t>
            </w:r>
            <w:proofErr w:type="spellStart"/>
            <w:r w:rsidRPr="00EE2965">
              <w:rPr>
                <w:rFonts w:ascii="Calibri" w:hAnsi="Calibri"/>
                <w:color w:val="000000"/>
              </w:rPr>
              <w:t>Moving</w:t>
            </w:r>
            <w:proofErr w:type="spellEnd"/>
            <w:r w:rsidRPr="00EE2965">
              <w:rPr>
                <w:rFonts w:ascii="Calibri" w:hAnsi="Calibri"/>
                <w:color w:val="000000"/>
              </w:rPr>
              <w:t xml:space="preserve"> </w:t>
            </w:r>
            <w:proofErr w:type="spellStart"/>
            <w:r w:rsidRPr="00EE2965">
              <w:rPr>
                <w:rFonts w:ascii="Calibri" w:hAnsi="Calibri"/>
                <w:color w:val="000000"/>
              </w:rPr>
              <w:t>Head</w:t>
            </w:r>
            <w:proofErr w:type="spellEnd"/>
            <w:r w:rsidRPr="00EE2965">
              <w:rPr>
                <w:rFonts w:ascii="Calibri" w:hAnsi="Calibri"/>
                <w:color w:val="000000"/>
              </w:rPr>
              <w:t xml:space="preserve">" типа </w:t>
            </w:r>
            <w:proofErr w:type="spellStart"/>
            <w:r w:rsidRPr="00EE2965">
              <w:rPr>
                <w:rFonts w:ascii="Calibri" w:hAnsi="Calibri"/>
                <w:color w:val="000000"/>
              </w:rPr>
              <w:t>Spot</w:t>
            </w:r>
            <w:proofErr w:type="spellEnd"/>
            <w:r w:rsidRPr="00EE2965">
              <w:rPr>
                <w:rFonts w:ascii="Calibri" w:hAnsi="Calibri"/>
                <w:color w:val="000000"/>
              </w:rPr>
              <w:t xml:space="preserve"> на светодиоде 300W</w:t>
            </w:r>
          </w:p>
        </w:tc>
        <w:tc>
          <w:tcPr>
            <w:tcW w:w="860" w:type="dxa"/>
            <w:tcBorders>
              <w:top w:val="nil"/>
              <w:left w:val="nil"/>
              <w:bottom w:val="single" w:sz="4" w:space="0" w:color="auto"/>
              <w:right w:val="single" w:sz="4" w:space="0" w:color="auto"/>
            </w:tcBorders>
            <w:shd w:val="clear" w:color="auto" w:fill="auto"/>
            <w:vAlign w:val="center"/>
            <w:hideMark/>
          </w:tcPr>
          <w:p w:rsidR="002C2C39" w:rsidRPr="00EE2965" w:rsidRDefault="002C2C39" w:rsidP="004515D2">
            <w:pPr>
              <w:jc w:val="center"/>
              <w:rPr>
                <w:rFonts w:ascii="Calibri" w:hAnsi="Calibri"/>
                <w:color w:val="000000"/>
              </w:rPr>
            </w:pPr>
            <w:proofErr w:type="spellStart"/>
            <w:proofErr w:type="gramStart"/>
            <w:r w:rsidRPr="00EE2965">
              <w:rPr>
                <w:rFonts w:ascii="Calibri" w:hAnsi="Calibri"/>
                <w:color w:val="000000"/>
              </w:rPr>
              <w:t>шт</w:t>
            </w:r>
            <w:proofErr w:type="spellEnd"/>
            <w:proofErr w:type="gramEnd"/>
          </w:p>
        </w:tc>
        <w:tc>
          <w:tcPr>
            <w:tcW w:w="1260" w:type="dxa"/>
            <w:tcBorders>
              <w:top w:val="nil"/>
              <w:left w:val="nil"/>
              <w:bottom w:val="single" w:sz="4" w:space="0" w:color="auto"/>
              <w:right w:val="single" w:sz="8" w:space="0" w:color="auto"/>
            </w:tcBorders>
            <w:shd w:val="clear" w:color="auto" w:fill="auto"/>
            <w:vAlign w:val="center"/>
            <w:hideMark/>
          </w:tcPr>
          <w:p w:rsidR="002C2C39" w:rsidRPr="00EE2965" w:rsidRDefault="002C2C39" w:rsidP="004515D2">
            <w:pPr>
              <w:jc w:val="center"/>
              <w:rPr>
                <w:rFonts w:ascii="Calibri" w:hAnsi="Calibri"/>
                <w:color w:val="000000"/>
              </w:rPr>
            </w:pPr>
            <w:r w:rsidRPr="00EE2965">
              <w:rPr>
                <w:rFonts w:ascii="Calibri" w:hAnsi="Calibri"/>
                <w:color w:val="000000"/>
              </w:rPr>
              <w:t>2</w:t>
            </w:r>
          </w:p>
        </w:tc>
      </w:tr>
      <w:tr w:rsidR="002C2C39" w:rsidRPr="00EE2965" w:rsidTr="004515D2">
        <w:trPr>
          <w:trHeight w:val="67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2C2C39" w:rsidRPr="00EE2965" w:rsidRDefault="002C2C39" w:rsidP="004515D2">
            <w:pPr>
              <w:jc w:val="center"/>
              <w:rPr>
                <w:rFonts w:ascii="Calibri" w:hAnsi="Calibri"/>
                <w:color w:val="000000"/>
              </w:rPr>
            </w:pPr>
            <w:r w:rsidRPr="00EE2965">
              <w:rPr>
                <w:rFonts w:ascii="Calibri" w:hAnsi="Calibri"/>
                <w:color w:val="000000"/>
              </w:rPr>
              <w:t>3</w:t>
            </w:r>
          </w:p>
        </w:tc>
        <w:tc>
          <w:tcPr>
            <w:tcW w:w="7240" w:type="dxa"/>
            <w:tcBorders>
              <w:top w:val="nil"/>
              <w:left w:val="nil"/>
              <w:bottom w:val="single" w:sz="4" w:space="0" w:color="auto"/>
              <w:right w:val="single" w:sz="4" w:space="0" w:color="auto"/>
            </w:tcBorders>
            <w:shd w:val="clear" w:color="auto" w:fill="auto"/>
            <w:vAlign w:val="center"/>
            <w:hideMark/>
          </w:tcPr>
          <w:p w:rsidR="002C2C39" w:rsidRPr="00EE2965" w:rsidRDefault="002C2C39" w:rsidP="004515D2">
            <w:pPr>
              <w:rPr>
                <w:rFonts w:ascii="Calibri" w:hAnsi="Calibri"/>
                <w:color w:val="000000"/>
              </w:rPr>
            </w:pPr>
            <w:r>
              <w:rPr>
                <w:rFonts w:ascii="Calibri" w:hAnsi="Calibri"/>
                <w:color w:val="000000"/>
              </w:rPr>
              <w:t xml:space="preserve">BEAM 260 </w:t>
            </w:r>
            <w:r w:rsidRPr="00EE2965">
              <w:rPr>
                <w:rFonts w:ascii="Calibri" w:hAnsi="Calibri"/>
                <w:color w:val="000000"/>
              </w:rPr>
              <w:t>Динамический световой прибор полного вращения класса "</w:t>
            </w:r>
            <w:proofErr w:type="spellStart"/>
            <w:r w:rsidRPr="00EE2965">
              <w:rPr>
                <w:rFonts w:ascii="Calibri" w:hAnsi="Calibri"/>
                <w:color w:val="000000"/>
              </w:rPr>
              <w:t>Moving</w:t>
            </w:r>
            <w:proofErr w:type="spellEnd"/>
            <w:r w:rsidRPr="00EE2965">
              <w:rPr>
                <w:rFonts w:ascii="Calibri" w:hAnsi="Calibri"/>
                <w:color w:val="000000"/>
              </w:rPr>
              <w:t xml:space="preserve"> </w:t>
            </w:r>
            <w:proofErr w:type="spellStart"/>
            <w:r w:rsidRPr="00EE2965">
              <w:rPr>
                <w:rFonts w:ascii="Calibri" w:hAnsi="Calibri"/>
                <w:color w:val="000000"/>
              </w:rPr>
              <w:t>Head</w:t>
            </w:r>
            <w:proofErr w:type="spellEnd"/>
            <w:r w:rsidRPr="00EE2965">
              <w:rPr>
                <w:rFonts w:ascii="Calibri" w:hAnsi="Calibri"/>
                <w:color w:val="000000"/>
              </w:rPr>
              <w:t xml:space="preserve">" типа </w:t>
            </w:r>
            <w:proofErr w:type="spellStart"/>
            <w:r w:rsidRPr="00EE2965">
              <w:rPr>
                <w:rFonts w:ascii="Calibri" w:hAnsi="Calibri"/>
                <w:color w:val="000000"/>
              </w:rPr>
              <w:t>Beam</w:t>
            </w:r>
            <w:proofErr w:type="spellEnd"/>
            <w:r w:rsidRPr="00EE2965">
              <w:rPr>
                <w:rFonts w:ascii="Calibri" w:hAnsi="Calibri"/>
                <w:color w:val="000000"/>
              </w:rPr>
              <w:t xml:space="preserve"> с лампой </w:t>
            </w:r>
            <w:proofErr w:type="spellStart"/>
            <w:r w:rsidRPr="00EE2965">
              <w:rPr>
                <w:rFonts w:ascii="Calibri" w:hAnsi="Calibri"/>
                <w:color w:val="000000"/>
              </w:rPr>
              <w:t>Jodn</w:t>
            </w:r>
            <w:proofErr w:type="spellEnd"/>
            <w:r w:rsidRPr="00EE2965">
              <w:rPr>
                <w:rFonts w:ascii="Calibri" w:hAnsi="Calibri"/>
                <w:color w:val="000000"/>
              </w:rPr>
              <w:t xml:space="preserve"> 9R</w:t>
            </w:r>
          </w:p>
        </w:tc>
        <w:tc>
          <w:tcPr>
            <w:tcW w:w="860" w:type="dxa"/>
            <w:tcBorders>
              <w:top w:val="nil"/>
              <w:left w:val="nil"/>
              <w:bottom w:val="single" w:sz="4" w:space="0" w:color="auto"/>
              <w:right w:val="single" w:sz="4" w:space="0" w:color="auto"/>
            </w:tcBorders>
            <w:shd w:val="clear" w:color="auto" w:fill="auto"/>
            <w:vAlign w:val="center"/>
            <w:hideMark/>
          </w:tcPr>
          <w:p w:rsidR="002C2C39" w:rsidRPr="00EE2965" w:rsidRDefault="002C2C39" w:rsidP="004515D2">
            <w:pPr>
              <w:jc w:val="center"/>
              <w:rPr>
                <w:rFonts w:ascii="Calibri" w:hAnsi="Calibri"/>
                <w:color w:val="000000"/>
              </w:rPr>
            </w:pPr>
            <w:proofErr w:type="spellStart"/>
            <w:proofErr w:type="gramStart"/>
            <w:r w:rsidRPr="00EE2965">
              <w:rPr>
                <w:rFonts w:ascii="Calibri" w:hAnsi="Calibri"/>
                <w:color w:val="000000"/>
              </w:rPr>
              <w:t>шт</w:t>
            </w:r>
            <w:proofErr w:type="spellEnd"/>
            <w:proofErr w:type="gramEnd"/>
          </w:p>
        </w:tc>
        <w:tc>
          <w:tcPr>
            <w:tcW w:w="1260" w:type="dxa"/>
            <w:tcBorders>
              <w:top w:val="nil"/>
              <w:left w:val="nil"/>
              <w:bottom w:val="single" w:sz="4" w:space="0" w:color="auto"/>
              <w:right w:val="single" w:sz="8" w:space="0" w:color="auto"/>
            </w:tcBorders>
            <w:shd w:val="clear" w:color="auto" w:fill="auto"/>
            <w:vAlign w:val="center"/>
            <w:hideMark/>
          </w:tcPr>
          <w:p w:rsidR="002C2C39" w:rsidRPr="00EE2965" w:rsidRDefault="002C2C39" w:rsidP="004515D2">
            <w:pPr>
              <w:jc w:val="center"/>
              <w:rPr>
                <w:rFonts w:ascii="Calibri" w:hAnsi="Calibri"/>
                <w:color w:val="000000"/>
              </w:rPr>
            </w:pPr>
            <w:r w:rsidRPr="00EE2965">
              <w:rPr>
                <w:rFonts w:ascii="Calibri" w:hAnsi="Calibri"/>
                <w:color w:val="000000"/>
              </w:rPr>
              <w:t>4</w:t>
            </w:r>
          </w:p>
        </w:tc>
      </w:tr>
      <w:tr w:rsidR="002C2C39" w:rsidRPr="00EE2965" w:rsidTr="004515D2">
        <w:trPr>
          <w:trHeight w:val="64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2C2C39" w:rsidRPr="00EE2965" w:rsidRDefault="002C2C39" w:rsidP="004515D2">
            <w:pPr>
              <w:jc w:val="center"/>
              <w:rPr>
                <w:rFonts w:ascii="Calibri" w:hAnsi="Calibri"/>
                <w:color w:val="000000"/>
              </w:rPr>
            </w:pPr>
            <w:r w:rsidRPr="00EE2965">
              <w:rPr>
                <w:rFonts w:ascii="Calibri" w:hAnsi="Calibri"/>
                <w:color w:val="000000"/>
              </w:rPr>
              <w:t>4</w:t>
            </w:r>
          </w:p>
        </w:tc>
        <w:tc>
          <w:tcPr>
            <w:tcW w:w="7240" w:type="dxa"/>
            <w:tcBorders>
              <w:top w:val="nil"/>
              <w:left w:val="nil"/>
              <w:bottom w:val="single" w:sz="4" w:space="0" w:color="auto"/>
              <w:right w:val="single" w:sz="4" w:space="0" w:color="auto"/>
            </w:tcBorders>
            <w:shd w:val="clear" w:color="auto" w:fill="auto"/>
            <w:vAlign w:val="center"/>
            <w:hideMark/>
          </w:tcPr>
          <w:p w:rsidR="002C2C39" w:rsidRPr="00EE2965" w:rsidRDefault="002C2C39" w:rsidP="004515D2">
            <w:pPr>
              <w:rPr>
                <w:rFonts w:ascii="Calibri" w:hAnsi="Calibri"/>
                <w:color w:val="000000"/>
              </w:rPr>
            </w:pPr>
            <w:r w:rsidRPr="00EE2965">
              <w:rPr>
                <w:rFonts w:ascii="Calibri" w:hAnsi="Calibri"/>
                <w:color w:val="000000"/>
              </w:rPr>
              <w:t>LED WASH 7x40 Динамический световой прибор полного вращения класса "</w:t>
            </w:r>
            <w:proofErr w:type="spellStart"/>
            <w:r w:rsidRPr="00EE2965">
              <w:rPr>
                <w:rFonts w:ascii="Calibri" w:hAnsi="Calibri"/>
                <w:color w:val="000000"/>
              </w:rPr>
              <w:t>Moving</w:t>
            </w:r>
            <w:proofErr w:type="spellEnd"/>
            <w:r w:rsidRPr="00EE2965">
              <w:rPr>
                <w:rFonts w:ascii="Calibri" w:hAnsi="Calibri"/>
                <w:color w:val="000000"/>
              </w:rPr>
              <w:t xml:space="preserve"> </w:t>
            </w:r>
            <w:proofErr w:type="spellStart"/>
            <w:r w:rsidRPr="00EE2965">
              <w:rPr>
                <w:rFonts w:ascii="Calibri" w:hAnsi="Calibri"/>
                <w:color w:val="000000"/>
              </w:rPr>
              <w:t>Head</w:t>
            </w:r>
            <w:proofErr w:type="spellEnd"/>
            <w:r w:rsidRPr="00EE2965">
              <w:rPr>
                <w:rFonts w:ascii="Calibri" w:hAnsi="Calibri"/>
                <w:color w:val="000000"/>
              </w:rPr>
              <w:t xml:space="preserve">" типа </w:t>
            </w:r>
            <w:proofErr w:type="spellStart"/>
            <w:r w:rsidRPr="00EE2965">
              <w:rPr>
                <w:rFonts w:ascii="Calibri" w:hAnsi="Calibri"/>
                <w:color w:val="000000"/>
              </w:rPr>
              <w:t>Wash</w:t>
            </w:r>
            <w:proofErr w:type="spellEnd"/>
            <w:r w:rsidRPr="00EE2965">
              <w:rPr>
                <w:rFonts w:ascii="Calibri" w:hAnsi="Calibri"/>
                <w:color w:val="000000"/>
              </w:rPr>
              <w:t xml:space="preserve"> на светодиодах </w:t>
            </w:r>
            <w:proofErr w:type="spellStart"/>
            <w:r w:rsidRPr="00EE2965">
              <w:rPr>
                <w:rFonts w:ascii="Calibri" w:hAnsi="Calibri"/>
                <w:color w:val="000000"/>
              </w:rPr>
              <w:t>Osram</w:t>
            </w:r>
            <w:proofErr w:type="spellEnd"/>
            <w:r w:rsidRPr="00EE2965">
              <w:rPr>
                <w:rFonts w:ascii="Calibri" w:hAnsi="Calibri"/>
                <w:color w:val="000000"/>
              </w:rPr>
              <w:t xml:space="preserve"> RGBW 40W</w:t>
            </w:r>
          </w:p>
        </w:tc>
        <w:tc>
          <w:tcPr>
            <w:tcW w:w="860" w:type="dxa"/>
            <w:tcBorders>
              <w:top w:val="nil"/>
              <w:left w:val="nil"/>
              <w:bottom w:val="single" w:sz="4" w:space="0" w:color="auto"/>
              <w:right w:val="single" w:sz="4" w:space="0" w:color="auto"/>
            </w:tcBorders>
            <w:shd w:val="clear" w:color="auto" w:fill="auto"/>
            <w:vAlign w:val="center"/>
            <w:hideMark/>
          </w:tcPr>
          <w:p w:rsidR="002C2C39" w:rsidRPr="00EE2965" w:rsidRDefault="002C2C39" w:rsidP="004515D2">
            <w:pPr>
              <w:jc w:val="center"/>
              <w:rPr>
                <w:rFonts w:ascii="Calibri" w:hAnsi="Calibri"/>
                <w:color w:val="000000"/>
              </w:rPr>
            </w:pPr>
            <w:proofErr w:type="spellStart"/>
            <w:proofErr w:type="gramStart"/>
            <w:r w:rsidRPr="00EE2965">
              <w:rPr>
                <w:rFonts w:ascii="Calibri" w:hAnsi="Calibri"/>
                <w:color w:val="000000"/>
              </w:rPr>
              <w:t>шт</w:t>
            </w:r>
            <w:proofErr w:type="spellEnd"/>
            <w:proofErr w:type="gramEnd"/>
          </w:p>
        </w:tc>
        <w:tc>
          <w:tcPr>
            <w:tcW w:w="1260" w:type="dxa"/>
            <w:tcBorders>
              <w:top w:val="nil"/>
              <w:left w:val="nil"/>
              <w:bottom w:val="single" w:sz="4" w:space="0" w:color="auto"/>
              <w:right w:val="single" w:sz="8" w:space="0" w:color="auto"/>
            </w:tcBorders>
            <w:shd w:val="clear" w:color="auto" w:fill="auto"/>
            <w:vAlign w:val="center"/>
            <w:hideMark/>
          </w:tcPr>
          <w:p w:rsidR="002C2C39" w:rsidRPr="00EE2965" w:rsidRDefault="002C2C39" w:rsidP="004515D2">
            <w:pPr>
              <w:jc w:val="center"/>
              <w:rPr>
                <w:rFonts w:ascii="Calibri" w:hAnsi="Calibri"/>
                <w:color w:val="000000"/>
              </w:rPr>
            </w:pPr>
            <w:r w:rsidRPr="00EE2965">
              <w:rPr>
                <w:rFonts w:ascii="Calibri" w:hAnsi="Calibri"/>
                <w:color w:val="000000"/>
              </w:rPr>
              <w:t>3</w:t>
            </w:r>
          </w:p>
        </w:tc>
      </w:tr>
      <w:tr w:rsidR="002C2C39" w:rsidRPr="00EE2965" w:rsidTr="004515D2">
        <w:trPr>
          <w:trHeight w:val="64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2C2C39" w:rsidRPr="00EE2965" w:rsidRDefault="002C2C39" w:rsidP="004515D2">
            <w:pPr>
              <w:jc w:val="center"/>
              <w:rPr>
                <w:rFonts w:ascii="Calibri" w:hAnsi="Calibri"/>
                <w:color w:val="000000"/>
              </w:rPr>
            </w:pPr>
            <w:r w:rsidRPr="00EE2965">
              <w:rPr>
                <w:rFonts w:ascii="Calibri" w:hAnsi="Calibri"/>
                <w:color w:val="000000"/>
              </w:rPr>
              <w:t>5</w:t>
            </w:r>
          </w:p>
        </w:tc>
        <w:tc>
          <w:tcPr>
            <w:tcW w:w="7240" w:type="dxa"/>
            <w:tcBorders>
              <w:top w:val="nil"/>
              <w:left w:val="nil"/>
              <w:bottom w:val="single" w:sz="4" w:space="0" w:color="auto"/>
              <w:right w:val="single" w:sz="4" w:space="0" w:color="auto"/>
            </w:tcBorders>
            <w:shd w:val="clear" w:color="auto" w:fill="auto"/>
            <w:vAlign w:val="center"/>
            <w:hideMark/>
          </w:tcPr>
          <w:p w:rsidR="002C2C39" w:rsidRPr="00EE2965" w:rsidRDefault="002C2C39" w:rsidP="004515D2">
            <w:pPr>
              <w:rPr>
                <w:rFonts w:ascii="Calibri" w:hAnsi="Calibri"/>
                <w:color w:val="000000"/>
              </w:rPr>
            </w:pPr>
            <w:r w:rsidRPr="00EE2965">
              <w:rPr>
                <w:rFonts w:ascii="Calibri" w:hAnsi="Calibri"/>
                <w:color w:val="000000"/>
              </w:rPr>
              <w:t>LED PAR Световой прибор типа PAR (</w:t>
            </w:r>
            <w:proofErr w:type="spellStart"/>
            <w:r w:rsidRPr="00EE2965">
              <w:rPr>
                <w:rFonts w:ascii="Calibri" w:hAnsi="Calibri"/>
                <w:color w:val="000000"/>
              </w:rPr>
              <w:t>Parabolic</w:t>
            </w:r>
            <w:proofErr w:type="spellEnd"/>
            <w:r w:rsidRPr="00EE2965">
              <w:rPr>
                <w:rFonts w:ascii="Calibri" w:hAnsi="Calibri"/>
                <w:color w:val="000000"/>
              </w:rPr>
              <w:t xml:space="preserve"> </w:t>
            </w:r>
            <w:proofErr w:type="spellStart"/>
            <w:r w:rsidRPr="00EE2965">
              <w:rPr>
                <w:rFonts w:ascii="Calibri" w:hAnsi="Calibri"/>
                <w:color w:val="000000"/>
              </w:rPr>
              <w:t>Aluminium</w:t>
            </w:r>
            <w:proofErr w:type="spellEnd"/>
            <w:r w:rsidRPr="00EE2965">
              <w:rPr>
                <w:rFonts w:ascii="Calibri" w:hAnsi="Calibri"/>
                <w:color w:val="000000"/>
              </w:rPr>
              <w:t xml:space="preserve"> </w:t>
            </w:r>
            <w:proofErr w:type="spellStart"/>
            <w:r w:rsidRPr="00EE2965">
              <w:rPr>
                <w:rFonts w:ascii="Calibri" w:hAnsi="Calibri"/>
                <w:color w:val="000000"/>
              </w:rPr>
              <w:t>Reflector</w:t>
            </w:r>
            <w:proofErr w:type="spellEnd"/>
            <w:r w:rsidRPr="00EE2965">
              <w:rPr>
                <w:rFonts w:ascii="Calibri" w:hAnsi="Calibri"/>
                <w:color w:val="000000"/>
              </w:rPr>
              <w:t xml:space="preserve">) с </w:t>
            </w:r>
            <w:proofErr w:type="spellStart"/>
            <w:r w:rsidRPr="00EE2965">
              <w:rPr>
                <w:rFonts w:ascii="Calibri" w:hAnsi="Calibri"/>
                <w:color w:val="000000"/>
              </w:rPr>
              <w:t>кашетирующими</w:t>
            </w:r>
            <w:proofErr w:type="spellEnd"/>
            <w:r w:rsidRPr="00EE2965">
              <w:rPr>
                <w:rFonts w:ascii="Calibri" w:hAnsi="Calibri"/>
                <w:color w:val="000000"/>
              </w:rPr>
              <w:t xml:space="preserve"> шторками на светодиоде 200W</w:t>
            </w:r>
          </w:p>
        </w:tc>
        <w:tc>
          <w:tcPr>
            <w:tcW w:w="860" w:type="dxa"/>
            <w:tcBorders>
              <w:top w:val="nil"/>
              <w:left w:val="nil"/>
              <w:bottom w:val="single" w:sz="4" w:space="0" w:color="auto"/>
              <w:right w:val="single" w:sz="4" w:space="0" w:color="auto"/>
            </w:tcBorders>
            <w:shd w:val="clear" w:color="auto" w:fill="auto"/>
            <w:vAlign w:val="center"/>
            <w:hideMark/>
          </w:tcPr>
          <w:p w:rsidR="002C2C39" w:rsidRPr="00EE2965" w:rsidRDefault="002C2C39" w:rsidP="004515D2">
            <w:pPr>
              <w:jc w:val="center"/>
              <w:rPr>
                <w:rFonts w:ascii="Calibri" w:hAnsi="Calibri"/>
                <w:color w:val="000000"/>
              </w:rPr>
            </w:pPr>
            <w:proofErr w:type="spellStart"/>
            <w:proofErr w:type="gramStart"/>
            <w:r w:rsidRPr="00EE2965">
              <w:rPr>
                <w:rFonts w:ascii="Calibri" w:hAnsi="Calibri"/>
                <w:color w:val="000000"/>
              </w:rPr>
              <w:t>шт</w:t>
            </w:r>
            <w:proofErr w:type="spellEnd"/>
            <w:proofErr w:type="gramEnd"/>
          </w:p>
        </w:tc>
        <w:tc>
          <w:tcPr>
            <w:tcW w:w="1260" w:type="dxa"/>
            <w:tcBorders>
              <w:top w:val="nil"/>
              <w:left w:val="nil"/>
              <w:bottom w:val="single" w:sz="4" w:space="0" w:color="auto"/>
              <w:right w:val="single" w:sz="8" w:space="0" w:color="auto"/>
            </w:tcBorders>
            <w:shd w:val="clear" w:color="auto" w:fill="auto"/>
            <w:vAlign w:val="center"/>
            <w:hideMark/>
          </w:tcPr>
          <w:p w:rsidR="002C2C39" w:rsidRPr="00EE2965" w:rsidRDefault="002C2C39" w:rsidP="004515D2">
            <w:pPr>
              <w:jc w:val="center"/>
              <w:rPr>
                <w:rFonts w:ascii="Calibri" w:hAnsi="Calibri"/>
                <w:color w:val="000000"/>
              </w:rPr>
            </w:pPr>
            <w:r w:rsidRPr="00EE2965">
              <w:rPr>
                <w:rFonts w:ascii="Calibri" w:hAnsi="Calibri"/>
                <w:color w:val="000000"/>
              </w:rPr>
              <w:t>4</w:t>
            </w:r>
          </w:p>
        </w:tc>
      </w:tr>
      <w:tr w:rsidR="002C2C39" w:rsidRPr="00EE2965" w:rsidTr="004515D2">
        <w:trPr>
          <w:trHeight w:val="660"/>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2C2C39" w:rsidRPr="00EE2965" w:rsidRDefault="002C2C39" w:rsidP="004515D2">
            <w:pPr>
              <w:jc w:val="center"/>
              <w:rPr>
                <w:rFonts w:ascii="Calibri" w:hAnsi="Calibri"/>
                <w:color w:val="000000"/>
              </w:rPr>
            </w:pPr>
            <w:r w:rsidRPr="00EE2965">
              <w:rPr>
                <w:rFonts w:ascii="Calibri" w:hAnsi="Calibri"/>
                <w:color w:val="000000"/>
              </w:rPr>
              <w:t>6</w:t>
            </w:r>
          </w:p>
        </w:tc>
        <w:tc>
          <w:tcPr>
            <w:tcW w:w="7240" w:type="dxa"/>
            <w:tcBorders>
              <w:top w:val="nil"/>
              <w:left w:val="nil"/>
              <w:bottom w:val="single" w:sz="4" w:space="0" w:color="auto"/>
              <w:right w:val="single" w:sz="4" w:space="0" w:color="auto"/>
            </w:tcBorders>
            <w:shd w:val="clear" w:color="auto" w:fill="auto"/>
            <w:vAlign w:val="center"/>
            <w:hideMark/>
          </w:tcPr>
          <w:p w:rsidR="002C2C39" w:rsidRPr="00EE2965" w:rsidRDefault="002C2C39" w:rsidP="004515D2">
            <w:pPr>
              <w:rPr>
                <w:rFonts w:ascii="Calibri" w:hAnsi="Calibri"/>
                <w:color w:val="000000"/>
              </w:rPr>
            </w:pPr>
            <w:r w:rsidRPr="00EE2965">
              <w:rPr>
                <w:rFonts w:ascii="Calibri" w:hAnsi="Calibri"/>
                <w:color w:val="000000"/>
              </w:rPr>
              <w:t>LST200VK Стойки Т-образные для световых приборов с поперечной фермой</w:t>
            </w:r>
          </w:p>
        </w:tc>
        <w:tc>
          <w:tcPr>
            <w:tcW w:w="860" w:type="dxa"/>
            <w:tcBorders>
              <w:top w:val="nil"/>
              <w:left w:val="nil"/>
              <w:bottom w:val="single" w:sz="4" w:space="0" w:color="auto"/>
              <w:right w:val="single" w:sz="4" w:space="0" w:color="auto"/>
            </w:tcBorders>
            <w:shd w:val="clear" w:color="auto" w:fill="auto"/>
            <w:vAlign w:val="center"/>
            <w:hideMark/>
          </w:tcPr>
          <w:p w:rsidR="002C2C39" w:rsidRPr="00EE2965" w:rsidRDefault="002C2C39" w:rsidP="004515D2">
            <w:pPr>
              <w:jc w:val="center"/>
              <w:rPr>
                <w:rFonts w:ascii="Calibri" w:hAnsi="Calibri"/>
                <w:color w:val="000000"/>
              </w:rPr>
            </w:pPr>
            <w:proofErr w:type="spellStart"/>
            <w:proofErr w:type="gramStart"/>
            <w:r w:rsidRPr="00EE2965">
              <w:rPr>
                <w:rFonts w:ascii="Calibri" w:hAnsi="Calibri"/>
                <w:color w:val="000000"/>
              </w:rPr>
              <w:t>шт</w:t>
            </w:r>
            <w:proofErr w:type="spellEnd"/>
            <w:proofErr w:type="gramEnd"/>
          </w:p>
        </w:tc>
        <w:tc>
          <w:tcPr>
            <w:tcW w:w="1260" w:type="dxa"/>
            <w:tcBorders>
              <w:top w:val="nil"/>
              <w:left w:val="nil"/>
              <w:bottom w:val="single" w:sz="4" w:space="0" w:color="auto"/>
              <w:right w:val="single" w:sz="8" w:space="0" w:color="auto"/>
            </w:tcBorders>
            <w:shd w:val="clear" w:color="auto" w:fill="auto"/>
            <w:vAlign w:val="center"/>
            <w:hideMark/>
          </w:tcPr>
          <w:p w:rsidR="002C2C39" w:rsidRPr="00EE2965" w:rsidRDefault="002C2C39" w:rsidP="004515D2">
            <w:pPr>
              <w:jc w:val="center"/>
              <w:rPr>
                <w:rFonts w:ascii="Calibri" w:hAnsi="Calibri"/>
                <w:color w:val="000000"/>
              </w:rPr>
            </w:pPr>
            <w:r w:rsidRPr="00EE2965">
              <w:rPr>
                <w:rFonts w:ascii="Calibri" w:hAnsi="Calibri"/>
                <w:color w:val="000000"/>
              </w:rPr>
              <w:t>2</w:t>
            </w:r>
          </w:p>
        </w:tc>
      </w:tr>
      <w:tr w:rsidR="002C2C39" w:rsidRPr="00EE2965" w:rsidTr="004515D2">
        <w:trPr>
          <w:trHeight w:val="58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2C2C39" w:rsidRPr="00EE2965" w:rsidRDefault="002C2C39" w:rsidP="004515D2">
            <w:pPr>
              <w:jc w:val="center"/>
              <w:rPr>
                <w:rFonts w:ascii="Calibri" w:hAnsi="Calibri"/>
                <w:color w:val="000000"/>
              </w:rPr>
            </w:pPr>
            <w:r w:rsidRPr="00EE2965">
              <w:rPr>
                <w:rFonts w:ascii="Calibri" w:hAnsi="Calibri"/>
                <w:color w:val="000000"/>
              </w:rPr>
              <w:t>7</w:t>
            </w:r>
          </w:p>
        </w:tc>
        <w:tc>
          <w:tcPr>
            <w:tcW w:w="7240" w:type="dxa"/>
            <w:tcBorders>
              <w:top w:val="nil"/>
              <w:left w:val="nil"/>
              <w:bottom w:val="single" w:sz="4" w:space="0" w:color="auto"/>
              <w:right w:val="single" w:sz="4" w:space="0" w:color="auto"/>
            </w:tcBorders>
            <w:shd w:val="clear" w:color="auto" w:fill="auto"/>
            <w:vAlign w:val="center"/>
            <w:hideMark/>
          </w:tcPr>
          <w:p w:rsidR="002C2C39" w:rsidRPr="00EE2965" w:rsidRDefault="002C2C39" w:rsidP="004515D2">
            <w:pPr>
              <w:rPr>
                <w:rFonts w:ascii="Calibri" w:hAnsi="Calibri"/>
                <w:color w:val="000000"/>
              </w:rPr>
            </w:pPr>
            <w:r w:rsidRPr="00EE2965">
              <w:rPr>
                <w:rFonts w:ascii="Calibri" w:hAnsi="Calibri"/>
                <w:color w:val="000000"/>
              </w:rPr>
              <w:t>LST100VK Стойки Т-образные для световых приборов с перекладиной</w:t>
            </w:r>
          </w:p>
        </w:tc>
        <w:tc>
          <w:tcPr>
            <w:tcW w:w="860" w:type="dxa"/>
            <w:tcBorders>
              <w:top w:val="nil"/>
              <w:left w:val="nil"/>
              <w:bottom w:val="single" w:sz="4" w:space="0" w:color="auto"/>
              <w:right w:val="single" w:sz="4" w:space="0" w:color="auto"/>
            </w:tcBorders>
            <w:shd w:val="clear" w:color="auto" w:fill="auto"/>
            <w:vAlign w:val="center"/>
            <w:hideMark/>
          </w:tcPr>
          <w:p w:rsidR="002C2C39" w:rsidRPr="00EE2965" w:rsidRDefault="002C2C39" w:rsidP="004515D2">
            <w:pPr>
              <w:jc w:val="center"/>
              <w:rPr>
                <w:rFonts w:ascii="Calibri" w:hAnsi="Calibri"/>
                <w:color w:val="000000"/>
              </w:rPr>
            </w:pPr>
            <w:proofErr w:type="spellStart"/>
            <w:proofErr w:type="gramStart"/>
            <w:r w:rsidRPr="00EE2965">
              <w:rPr>
                <w:rFonts w:ascii="Calibri" w:hAnsi="Calibri"/>
                <w:color w:val="000000"/>
              </w:rPr>
              <w:t>шт</w:t>
            </w:r>
            <w:proofErr w:type="spellEnd"/>
            <w:proofErr w:type="gramEnd"/>
          </w:p>
        </w:tc>
        <w:tc>
          <w:tcPr>
            <w:tcW w:w="1260" w:type="dxa"/>
            <w:tcBorders>
              <w:top w:val="nil"/>
              <w:left w:val="nil"/>
              <w:bottom w:val="single" w:sz="4" w:space="0" w:color="auto"/>
              <w:right w:val="single" w:sz="8" w:space="0" w:color="auto"/>
            </w:tcBorders>
            <w:shd w:val="clear" w:color="auto" w:fill="auto"/>
            <w:vAlign w:val="center"/>
            <w:hideMark/>
          </w:tcPr>
          <w:p w:rsidR="002C2C39" w:rsidRPr="00EE2965" w:rsidRDefault="002C2C39" w:rsidP="004515D2">
            <w:pPr>
              <w:jc w:val="center"/>
              <w:rPr>
                <w:rFonts w:ascii="Calibri" w:hAnsi="Calibri"/>
                <w:color w:val="000000"/>
              </w:rPr>
            </w:pPr>
            <w:r w:rsidRPr="00EE2965">
              <w:rPr>
                <w:rFonts w:ascii="Calibri" w:hAnsi="Calibri"/>
                <w:color w:val="000000"/>
              </w:rPr>
              <w:t>6</w:t>
            </w:r>
          </w:p>
        </w:tc>
      </w:tr>
      <w:tr w:rsidR="002C2C39" w:rsidRPr="00EE2965" w:rsidTr="004515D2">
        <w:trPr>
          <w:trHeight w:val="58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2C2C39" w:rsidRPr="00EE2965" w:rsidRDefault="002C2C39" w:rsidP="004515D2">
            <w:pPr>
              <w:jc w:val="center"/>
              <w:rPr>
                <w:rFonts w:ascii="Calibri" w:hAnsi="Calibri"/>
                <w:color w:val="000000"/>
              </w:rPr>
            </w:pPr>
          </w:p>
        </w:tc>
        <w:tc>
          <w:tcPr>
            <w:tcW w:w="7240" w:type="dxa"/>
            <w:tcBorders>
              <w:top w:val="nil"/>
              <w:left w:val="nil"/>
              <w:bottom w:val="single" w:sz="4" w:space="0" w:color="auto"/>
              <w:right w:val="single" w:sz="4" w:space="0" w:color="auto"/>
            </w:tcBorders>
            <w:shd w:val="clear" w:color="auto" w:fill="auto"/>
            <w:vAlign w:val="center"/>
            <w:hideMark/>
          </w:tcPr>
          <w:p w:rsidR="002C2C39" w:rsidRPr="0013690D" w:rsidRDefault="002C2C39" w:rsidP="004515D2">
            <w:pPr>
              <w:rPr>
                <w:rFonts w:ascii="Calibri" w:hAnsi="Calibri"/>
                <w:b/>
                <w:color w:val="000000"/>
              </w:rPr>
            </w:pPr>
            <w:r w:rsidRPr="0013690D">
              <w:rPr>
                <w:rFonts w:ascii="Calibri" w:hAnsi="Calibri"/>
                <w:b/>
                <w:color w:val="000000"/>
              </w:rPr>
              <w:t>Итого</w:t>
            </w:r>
          </w:p>
        </w:tc>
        <w:tc>
          <w:tcPr>
            <w:tcW w:w="860" w:type="dxa"/>
            <w:tcBorders>
              <w:top w:val="nil"/>
              <w:left w:val="nil"/>
              <w:bottom w:val="single" w:sz="4" w:space="0" w:color="auto"/>
              <w:right w:val="single" w:sz="4" w:space="0" w:color="auto"/>
            </w:tcBorders>
            <w:shd w:val="clear" w:color="auto" w:fill="auto"/>
            <w:vAlign w:val="center"/>
            <w:hideMark/>
          </w:tcPr>
          <w:p w:rsidR="002C2C39" w:rsidRPr="0013690D" w:rsidRDefault="002C2C39" w:rsidP="004515D2">
            <w:pPr>
              <w:jc w:val="center"/>
              <w:rPr>
                <w:rFonts w:ascii="Calibri" w:hAnsi="Calibri"/>
                <w:b/>
                <w:color w:val="000000"/>
              </w:rPr>
            </w:pPr>
            <w:proofErr w:type="spellStart"/>
            <w:proofErr w:type="gramStart"/>
            <w:r w:rsidRPr="0013690D">
              <w:rPr>
                <w:rFonts w:ascii="Calibri" w:hAnsi="Calibri"/>
                <w:b/>
                <w:color w:val="000000"/>
              </w:rPr>
              <w:t>шт</w:t>
            </w:r>
            <w:proofErr w:type="spellEnd"/>
            <w:proofErr w:type="gramEnd"/>
          </w:p>
        </w:tc>
        <w:tc>
          <w:tcPr>
            <w:tcW w:w="1260" w:type="dxa"/>
            <w:tcBorders>
              <w:top w:val="nil"/>
              <w:left w:val="nil"/>
              <w:bottom w:val="single" w:sz="4" w:space="0" w:color="auto"/>
              <w:right w:val="single" w:sz="8" w:space="0" w:color="auto"/>
            </w:tcBorders>
            <w:shd w:val="clear" w:color="auto" w:fill="auto"/>
            <w:vAlign w:val="center"/>
            <w:hideMark/>
          </w:tcPr>
          <w:p w:rsidR="002C2C39" w:rsidRPr="0013690D" w:rsidRDefault="002C2C39" w:rsidP="004515D2">
            <w:pPr>
              <w:jc w:val="center"/>
              <w:rPr>
                <w:rFonts w:ascii="Calibri" w:hAnsi="Calibri"/>
                <w:b/>
                <w:color w:val="000000"/>
              </w:rPr>
            </w:pPr>
            <w:r w:rsidRPr="0013690D">
              <w:rPr>
                <w:rFonts w:ascii="Calibri" w:hAnsi="Calibri"/>
                <w:b/>
                <w:color w:val="000000"/>
              </w:rPr>
              <w:t>23</w:t>
            </w:r>
          </w:p>
        </w:tc>
      </w:tr>
      <w:tr w:rsidR="002C2C39" w:rsidRPr="00EE2965" w:rsidTr="004515D2">
        <w:trPr>
          <w:trHeight w:val="300"/>
        </w:trPr>
        <w:tc>
          <w:tcPr>
            <w:tcW w:w="576" w:type="dxa"/>
            <w:tcBorders>
              <w:top w:val="single" w:sz="8" w:space="0" w:color="auto"/>
              <w:left w:val="nil"/>
              <w:bottom w:val="nil"/>
              <w:right w:val="nil"/>
            </w:tcBorders>
            <w:shd w:val="clear" w:color="auto" w:fill="auto"/>
            <w:vAlign w:val="center"/>
            <w:hideMark/>
          </w:tcPr>
          <w:p w:rsidR="002C2C39" w:rsidRPr="00EE2965" w:rsidRDefault="002C2C39" w:rsidP="004515D2">
            <w:pPr>
              <w:jc w:val="center"/>
              <w:rPr>
                <w:rFonts w:ascii="Calibri" w:hAnsi="Calibri"/>
                <w:color w:val="000000"/>
              </w:rPr>
            </w:pPr>
            <w:r w:rsidRPr="00EE2965">
              <w:rPr>
                <w:rFonts w:ascii="Calibri" w:hAnsi="Calibri"/>
                <w:color w:val="000000"/>
              </w:rPr>
              <w:t> </w:t>
            </w:r>
          </w:p>
        </w:tc>
        <w:tc>
          <w:tcPr>
            <w:tcW w:w="7240" w:type="dxa"/>
            <w:tcBorders>
              <w:top w:val="single" w:sz="8" w:space="0" w:color="auto"/>
              <w:left w:val="nil"/>
              <w:bottom w:val="nil"/>
              <w:right w:val="nil"/>
            </w:tcBorders>
            <w:shd w:val="clear" w:color="auto" w:fill="auto"/>
            <w:vAlign w:val="center"/>
            <w:hideMark/>
          </w:tcPr>
          <w:p w:rsidR="002C2C39" w:rsidRPr="00EE2965" w:rsidRDefault="002C2C39" w:rsidP="004515D2">
            <w:pPr>
              <w:rPr>
                <w:rFonts w:ascii="Calibri" w:hAnsi="Calibri"/>
                <w:color w:val="000000"/>
              </w:rPr>
            </w:pPr>
            <w:r w:rsidRPr="00EE2965">
              <w:rPr>
                <w:rFonts w:ascii="Calibri" w:hAnsi="Calibri"/>
                <w:color w:val="000000"/>
              </w:rPr>
              <w:t> </w:t>
            </w:r>
          </w:p>
        </w:tc>
        <w:tc>
          <w:tcPr>
            <w:tcW w:w="860" w:type="dxa"/>
            <w:tcBorders>
              <w:top w:val="single" w:sz="8" w:space="0" w:color="auto"/>
              <w:left w:val="nil"/>
              <w:bottom w:val="nil"/>
              <w:right w:val="nil"/>
            </w:tcBorders>
            <w:shd w:val="clear" w:color="auto" w:fill="auto"/>
            <w:vAlign w:val="center"/>
            <w:hideMark/>
          </w:tcPr>
          <w:p w:rsidR="002C2C39" w:rsidRPr="00EE2965" w:rsidRDefault="002C2C39" w:rsidP="004515D2">
            <w:pPr>
              <w:jc w:val="center"/>
              <w:rPr>
                <w:rFonts w:ascii="Calibri" w:hAnsi="Calibri"/>
                <w:color w:val="000000"/>
              </w:rPr>
            </w:pPr>
            <w:r w:rsidRPr="00EE2965">
              <w:rPr>
                <w:rFonts w:ascii="Calibri" w:hAnsi="Calibri"/>
                <w:color w:val="000000"/>
              </w:rPr>
              <w:t> </w:t>
            </w:r>
          </w:p>
        </w:tc>
        <w:tc>
          <w:tcPr>
            <w:tcW w:w="1260" w:type="dxa"/>
            <w:tcBorders>
              <w:top w:val="single" w:sz="8" w:space="0" w:color="auto"/>
              <w:left w:val="nil"/>
              <w:bottom w:val="nil"/>
              <w:right w:val="nil"/>
            </w:tcBorders>
            <w:shd w:val="clear" w:color="auto" w:fill="auto"/>
            <w:vAlign w:val="center"/>
            <w:hideMark/>
          </w:tcPr>
          <w:p w:rsidR="002C2C39" w:rsidRPr="00EE2965" w:rsidRDefault="002C2C39" w:rsidP="004515D2">
            <w:pPr>
              <w:jc w:val="center"/>
              <w:rPr>
                <w:rFonts w:ascii="Calibri" w:hAnsi="Calibri"/>
                <w:color w:val="000000"/>
              </w:rPr>
            </w:pPr>
            <w:r w:rsidRPr="00EE2965">
              <w:rPr>
                <w:rFonts w:ascii="Calibri" w:hAnsi="Calibri"/>
                <w:color w:val="000000"/>
              </w:rPr>
              <w:t> </w:t>
            </w:r>
          </w:p>
        </w:tc>
      </w:tr>
      <w:tr w:rsidR="002C2C39" w:rsidRPr="00EE2965" w:rsidTr="004515D2">
        <w:trPr>
          <w:trHeight w:val="300"/>
        </w:trPr>
        <w:tc>
          <w:tcPr>
            <w:tcW w:w="576" w:type="dxa"/>
            <w:tcBorders>
              <w:top w:val="nil"/>
              <w:left w:val="nil"/>
              <w:bottom w:val="nil"/>
              <w:right w:val="nil"/>
            </w:tcBorders>
            <w:shd w:val="clear" w:color="auto" w:fill="auto"/>
            <w:vAlign w:val="center"/>
            <w:hideMark/>
          </w:tcPr>
          <w:p w:rsidR="002C2C39" w:rsidRPr="00EE2965" w:rsidRDefault="002C2C39" w:rsidP="004515D2">
            <w:pPr>
              <w:jc w:val="center"/>
              <w:rPr>
                <w:rFonts w:ascii="Calibri" w:hAnsi="Calibri"/>
                <w:color w:val="000000"/>
              </w:rPr>
            </w:pPr>
          </w:p>
        </w:tc>
        <w:tc>
          <w:tcPr>
            <w:tcW w:w="7240" w:type="dxa"/>
            <w:tcBorders>
              <w:top w:val="nil"/>
              <w:left w:val="nil"/>
              <w:bottom w:val="nil"/>
              <w:right w:val="nil"/>
            </w:tcBorders>
            <w:shd w:val="clear" w:color="auto" w:fill="auto"/>
            <w:vAlign w:val="center"/>
            <w:hideMark/>
          </w:tcPr>
          <w:p w:rsidR="002C2C39" w:rsidRPr="00EE2965" w:rsidRDefault="002C2C39" w:rsidP="004515D2">
            <w:pPr>
              <w:rPr>
                <w:rFonts w:ascii="Calibri" w:hAnsi="Calibri"/>
                <w:color w:val="000000"/>
              </w:rPr>
            </w:pPr>
          </w:p>
        </w:tc>
        <w:tc>
          <w:tcPr>
            <w:tcW w:w="860" w:type="dxa"/>
            <w:tcBorders>
              <w:top w:val="nil"/>
              <w:left w:val="nil"/>
              <w:bottom w:val="nil"/>
              <w:right w:val="nil"/>
            </w:tcBorders>
            <w:shd w:val="clear" w:color="auto" w:fill="auto"/>
            <w:vAlign w:val="center"/>
            <w:hideMark/>
          </w:tcPr>
          <w:p w:rsidR="002C2C39" w:rsidRPr="00EE2965" w:rsidRDefault="002C2C39" w:rsidP="004515D2">
            <w:pPr>
              <w:jc w:val="center"/>
              <w:rPr>
                <w:rFonts w:ascii="Calibri" w:hAnsi="Calibri"/>
                <w:color w:val="000000"/>
              </w:rPr>
            </w:pPr>
          </w:p>
        </w:tc>
        <w:tc>
          <w:tcPr>
            <w:tcW w:w="1260" w:type="dxa"/>
            <w:tcBorders>
              <w:top w:val="nil"/>
              <w:left w:val="nil"/>
              <w:bottom w:val="nil"/>
              <w:right w:val="nil"/>
            </w:tcBorders>
            <w:shd w:val="clear" w:color="auto" w:fill="auto"/>
            <w:vAlign w:val="center"/>
            <w:hideMark/>
          </w:tcPr>
          <w:p w:rsidR="002C2C39" w:rsidRPr="00EE2965" w:rsidRDefault="002C2C39" w:rsidP="004515D2">
            <w:pPr>
              <w:jc w:val="center"/>
              <w:rPr>
                <w:rFonts w:ascii="Calibri" w:hAnsi="Calibri"/>
                <w:color w:val="000000"/>
              </w:rPr>
            </w:pPr>
          </w:p>
        </w:tc>
      </w:tr>
    </w:tbl>
    <w:p w:rsidR="00595206" w:rsidRPr="000C25D7" w:rsidRDefault="00595206" w:rsidP="00595206">
      <w:pPr>
        <w:ind w:firstLine="567"/>
        <w:rPr>
          <w:color w:val="0D0D0D"/>
          <w:spacing w:val="-2"/>
        </w:rPr>
      </w:pPr>
      <w:r w:rsidRPr="00926226">
        <w:rPr>
          <w:spacing w:val="-2"/>
        </w:rPr>
        <w:t>Если в спецификации имеются указания</w:t>
      </w:r>
      <w:r w:rsidRPr="000C25D7">
        <w:rPr>
          <w:color w:val="0D0D0D"/>
          <w:spacing w:val="-2"/>
        </w:rPr>
        <w:t xml:space="preserve"> на товарные знаки, то все перечисленные указания рассматриваются участниками размещения заказа как указания, которые сопровождаются словами «или эквивалент»</w:t>
      </w:r>
      <w:r>
        <w:rPr>
          <w:color w:val="0D0D0D"/>
          <w:spacing w:val="-2"/>
        </w:rPr>
        <w:t>.</w:t>
      </w:r>
    </w:p>
    <w:p w:rsidR="002C2C39" w:rsidRDefault="002C2C39" w:rsidP="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2C2C39" w:rsidRDefault="002C2C39"/>
    <w:p w:rsidR="00037263" w:rsidRDefault="00037263"/>
    <w:p w:rsidR="002C2C39" w:rsidRPr="00A0676C" w:rsidRDefault="002C2C39" w:rsidP="00A0676C">
      <w:pPr>
        <w:jc w:val="right"/>
        <w:rPr>
          <w:b/>
        </w:rPr>
      </w:pPr>
      <w:r>
        <w:lastRenderedPageBreak/>
        <w:t xml:space="preserve">                                                                                  </w:t>
      </w:r>
      <w:r w:rsidRPr="00A0676C">
        <w:rPr>
          <w:b/>
        </w:rPr>
        <w:t>Приложение N2 к техническому заданию</w:t>
      </w:r>
    </w:p>
    <w:p w:rsidR="00037263" w:rsidRDefault="00037263" w:rsidP="002C2C39"/>
    <w:p w:rsidR="002C2C39" w:rsidRPr="002C2C39" w:rsidRDefault="002C2C39" w:rsidP="002C2C39">
      <w:pPr>
        <w:jc w:val="center"/>
        <w:rPr>
          <w:b/>
        </w:rPr>
      </w:pPr>
      <w:r w:rsidRPr="002C2C39">
        <w:rPr>
          <w:b/>
        </w:rPr>
        <w:t>Требования к качественным, техническим, функциональным характеристикам приобретаемого оборудования</w:t>
      </w:r>
    </w:p>
    <w:p w:rsidR="002C2C39" w:rsidRDefault="002C2C39" w:rsidP="002C2C39"/>
    <w:p w:rsidR="002C2C39" w:rsidRPr="009B7CE3" w:rsidRDefault="002C2C39" w:rsidP="002C2C39">
      <w:pPr>
        <w:rPr>
          <w:b/>
        </w:rPr>
      </w:pPr>
      <w:r w:rsidRPr="009B7CE3">
        <w:rPr>
          <w:b/>
        </w:rPr>
        <w:t>Требования к характеристикам комбинированного динамического светового прибора F400BSW</w:t>
      </w:r>
    </w:p>
    <w:p w:rsidR="002C2C39" w:rsidRDefault="002C2C39" w:rsidP="002C2C39">
      <w:r>
        <w:t>Источник свет</w:t>
      </w:r>
      <w:proofErr w:type="gramStart"/>
      <w:r>
        <w:t>а-</w:t>
      </w:r>
      <w:proofErr w:type="gramEnd"/>
      <w:r>
        <w:t xml:space="preserve"> лампа USHIO NSL360(31mmWD) 360Вт. </w:t>
      </w:r>
    </w:p>
    <w:p w:rsidR="002C2C39" w:rsidRDefault="002C2C39" w:rsidP="002C2C39">
      <w:r>
        <w:t xml:space="preserve">Срок службы лампы 1500 часов. </w:t>
      </w:r>
    </w:p>
    <w:p w:rsidR="002C2C39" w:rsidRDefault="002C2C39" w:rsidP="002C2C39">
      <w:r>
        <w:t xml:space="preserve">Цветовая температура 6900K. </w:t>
      </w:r>
    </w:p>
    <w:p w:rsidR="002C2C39" w:rsidRDefault="002C2C39" w:rsidP="002C2C39">
      <w:r>
        <w:t xml:space="preserve">1 колесо цвета, 14 цветов плюс открытый. </w:t>
      </w:r>
    </w:p>
    <w:p w:rsidR="002C2C39" w:rsidRDefault="002C2C39" w:rsidP="002C2C39">
      <w:r>
        <w:t xml:space="preserve">Вращения колесо цвета в двух направлениях с регулировкой скорости. </w:t>
      </w:r>
    </w:p>
    <w:p w:rsidR="002C2C39" w:rsidRDefault="002C2C39" w:rsidP="002C2C39">
      <w:r>
        <w:t xml:space="preserve">1 колесо </w:t>
      </w:r>
      <w:proofErr w:type="spellStart"/>
      <w:r>
        <w:t>гобо</w:t>
      </w:r>
      <w:proofErr w:type="spellEnd"/>
      <w:r>
        <w:t xml:space="preserve"> статическое 11 плюс открытый. </w:t>
      </w:r>
    </w:p>
    <w:p w:rsidR="002C2C39" w:rsidRDefault="002C2C39" w:rsidP="002C2C39">
      <w:r>
        <w:t xml:space="preserve">1 колесо </w:t>
      </w:r>
      <w:proofErr w:type="spellStart"/>
      <w:r>
        <w:t>гобо</w:t>
      </w:r>
      <w:proofErr w:type="spellEnd"/>
      <w:r>
        <w:t xml:space="preserve"> с вращением, 7 </w:t>
      </w:r>
      <w:proofErr w:type="spellStart"/>
      <w:r>
        <w:t>гобо</w:t>
      </w:r>
      <w:proofErr w:type="spellEnd"/>
      <w:r>
        <w:t xml:space="preserve"> взаимозаменяемые плюс открытый (эффект, анимация поток воды). Вращения колесо </w:t>
      </w:r>
      <w:proofErr w:type="spellStart"/>
      <w:r>
        <w:t>гобо</w:t>
      </w:r>
      <w:proofErr w:type="spellEnd"/>
      <w:r>
        <w:t xml:space="preserve"> в двух направлениях с регулировкой скорости. </w:t>
      </w:r>
    </w:p>
    <w:p w:rsidR="002C2C39" w:rsidRDefault="002C2C39" w:rsidP="002C2C39">
      <w:r>
        <w:t xml:space="preserve">12-гранная круговая призма с мягким высокоскоростным вращением и регулировкой скорости переменного направления </w:t>
      </w:r>
      <w:proofErr w:type="spellStart"/>
      <w:r>
        <w:t>c</w:t>
      </w:r>
      <w:proofErr w:type="spellEnd"/>
      <w:r>
        <w:t xml:space="preserve"> </w:t>
      </w:r>
      <w:proofErr w:type="spellStart"/>
      <w:r>
        <w:t>зум-эффектом</w:t>
      </w:r>
      <w:proofErr w:type="spellEnd"/>
      <w:r>
        <w:t xml:space="preserve"> от 10° до 20°. </w:t>
      </w:r>
    </w:p>
    <w:p w:rsidR="002C2C39" w:rsidRDefault="002C2C39" w:rsidP="002C2C39">
      <w:r>
        <w:t xml:space="preserve">Угол раскрытия луча: </w:t>
      </w:r>
      <w:proofErr w:type="spellStart"/>
      <w:r>
        <w:t>Beam</w:t>
      </w:r>
      <w:proofErr w:type="spellEnd"/>
      <w:r>
        <w:t xml:space="preserve"> режим 0°-1,5°, </w:t>
      </w:r>
      <w:proofErr w:type="spellStart"/>
      <w:r>
        <w:t>Spot</w:t>
      </w:r>
      <w:proofErr w:type="spellEnd"/>
      <w:r>
        <w:t xml:space="preserve"> режим, 1,5°-20°, </w:t>
      </w:r>
      <w:proofErr w:type="spellStart"/>
      <w:r>
        <w:t>Wash</w:t>
      </w:r>
      <w:proofErr w:type="spellEnd"/>
      <w:r>
        <w:t xml:space="preserve"> режим, 8°-60° Фокус линейная регулировка. </w:t>
      </w:r>
    </w:p>
    <w:p w:rsidR="002C2C39" w:rsidRDefault="002C2C39" w:rsidP="002C2C39">
      <w:proofErr w:type="gramStart"/>
      <w:r>
        <w:t>Двойной</w:t>
      </w:r>
      <w:proofErr w:type="gramEnd"/>
      <w:r>
        <w:t xml:space="preserve"> линейный </w:t>
      </w:r>
      <w:proofErr w:type="spellStart"/>
      <w:r>
        <w:t>диммер</w:t>
      </w:r>
      <w:proofErr w:type="spellEnd"/>
      <w:r>
        <w:t xml:space="preserve">, очень плавная регулировка. </w:t>
      </w:r>
    </w:p>
    <w:p w:rsidR="002C2C39" w:rsidRDefault="002C2C39" w:rsidP="002C2C39">
      <w:r>
        <w:t xml:space="preserve">Стробоскоп от 0,5 до 9 вспышек в секунду. </w:t>
      </w:r>
    </w:p>
    <w:p w:rsidR="002C2C39" w:rsidRDefault="002C2C39" w:rsidP="002C2C39">
      <w:r>
        <w:t xml:space="preserve">Моторизованный линейный (угол раскрытия луча). </w:t>
      </w:r>
    </w:p>
    <w:p w:rsidR="002C2C39" w:rsidRDefault="002C2C39" w:rsidP="002C2C39">
      <w:r>
        <w:t xml:space="preserve">Разрядность по движению 16 бит. PAN/ TILT. </w:t>
      </w:r>
    </w:p>
    <w:p w:rsidR="002C2C39" w:rsidRDefault="002C2C39" w:rsidP="002C2C39">
      <w:r>
        <w:t xml:space="preserve">Движение по PAN 540° </w:t>
      </w:r>
      <w:proofErr w:type="spellStart"/>
      <w:r>
        <w:t>Pan</w:t>
      </w:r>
      <w:proofErr w:type="spellEnd"/>
      <w:r>
        <w:t xml:space="preserve"> </w:t>
      </w:r>
      <w:proofErr w:type="spellStart"/>
      <w:r>
        <w:t>Fine</w:t>
      </w:r>
      <w:proofErr w:type="spellEnd"/>
      <w:r>
        <w:t xml:space="preserve"> 2.11° </w:t>
      </w:r>
    </w:p>
    <w:p w:rsidR="002C2C39" w:rsidRDefault="002C2C39" w:rsidP="002C2C39">
      <w:r>
        <w:t xml:space="preserve">Движение по TILT 250° </w:t>
      </w:r>
      <w:proofErr w:type="spellStart"/>
      <w:r>
        <w:t>Tilt</w:t>
      </w:r>
      <w:proofErr w:type="spellEnd"/>
      <w:r>
        <w:t xml:space="preserve"> </w:t>
      </w:r>
      <w:proofErr w:type="spellStart"/>
      <w:r>
        <w:t>Fine</w:t>
      </w:r>
      <w:proofErr w:type="spellEnd"/>
      <w:r>
        <w:t xml:space="preserve"> 0.98° </w:t>
      </w:r>
    </w:p>
    <w:p w:rsidR="002C2C39" w:rsidRDefault="002C2C39" w:rsidP="002C2C39">
      <w:r>
        <w:t xml:space="preserve">Скорость движения по PAN 540° 2,7 секунд </w:t>
      </w:r>
    </w:p>
    <w:p w:rsidR="002C2C39" w:rsidRDefault="002C2C39" w:rsidP="002C2C39">
      <w:r>
        <w:t xml:space="preserve">Скорость движения по TILT 250° 1,6 секунды </w:t>
      </w:r>
    </w:p>
    <w:p w:rsidR="002C2C39" w:rsidRDefault="002C2C39" w:rsidP="002C2C39">
      <w:r>
        <w:t xml:space="preserve">Управление по DMX 2 режима. </w:t>
      </w:r>
    </w:p>
    <w:p w:rsidR="002C2C39" w:rsidRDefault="002C2C39" w:rsidP="002C2C39">
      <w:r>
        <w:t xml:space="preserve">Количество каналов DMX 20/18 </w:t>
      </w:r>
    </w:p>
    <w:p w:rsidR="002C2C39" w:rsidRDefault="002C2C39" w:rsidP="002C2C39">
      <w:r>
        <w:t xml:space="preserve">Режим управления по DMX 512 . </w:t>
      </w:r>
    </w:p>
    <w:p w:rsidR="002C2C39" w:rsidRDefault="002C2C39" w:rsidP="002C2C39">
      <w:r>
        <w:t xml:space="preserve">Режим управления по </w:t>
      </w:r>
      <w:proofErr w:type="spellStart"/>
      <w:r>
        <w:t>Master-slav</w:t>
      </w:r>
      <w:proofErr w:type="spellEnd"/>
      <w:r>
        <w:t xml:space="preserve">, звуковая активация, RDM (опционально), </w:t>
      </w:r>
      <w:proofErr w:type="spellStart"/>
      <w:r>
        <w:t>Stand-alone</w:t>
      </w:r>
      <w:proofErr w:type="spellEnd"/>
      <w:r>
        <w:t xml:space="preserve">, IP адрес, </w:t>
      </w:r>
      <w:proofErr w:type="spellStart"/>
      <w:r>
        <w:t>Wireless</w:t>
      </w:r>
      <w:proofErr w:type="spellEnd"/>
      <w:r>
        <w:t xml:space="preserve"> (опционально) </w:t>
      </w:r>
    </w:p>
    <w:p w:rsidR="002C2C39" w:rsidRDefault="002C2C39" w:rsidP="002C2C39">
      <w:r>
        <w:t xml:space="preserve">Регулировка скорости вентилятора </w:t>
      </w:r>
    </w:p>
    <w:p w:rsidR="002C2C39" w:rsidRDefault="002C2C39" w:rsidP="002C2C39">
      <w:r>
        <w:t xml:space="preserve">Автоматическая защита от перегрева. </w:t>
      </w:r>
    </w:p>
    <w:p w:rsidR="002C2C39" w:rsidRDefault="002C2C39" w:rsidP="002C2C39">
      <w:r>
        <w:t xml:space="preserve">Корпус выполнен из </w:t>
      </w:r>
      <w:proofErr w:type="gramStart"/>
      <w:r>
        <w:t>жаропрочного</w:t>
      </w:r>
      <w:proofErr w:type="gramEnd"/>
      <w:r>
        <w:t xml:space="preserve"> </w:t>
      </w:r>
      <w:proofErr w:type="spellStart"/>
      <w:r>
        <w:t>пластиа</w:t>
      </w:r>
      <w:proofErr w:type="spellEnd"/>
      <w:r>
        <w:t xml:space="preserve">. </w:t>
      </w:r>
    </w:p>
    <w:p w:rsidR="002C2C39" w:rsidRDefault="002C2C39" w:rsidP="002C2C39">
      <w:r>
        <w:t xml:space="preserve">Степень защиты IP20. </w:t>
      </w:r>
    </w:p>
    <w:p w:rsidR="002C2C39" w:rsidRDefault="002C2C39" w:rsidP="002C2C39">
      <w:r>
        <w:t xml:space="preserve">Низкий уровень шума. </w:t>
      </w:r>
    </w:p>
    <w:p w:rsidR="002C2C39" w:rsidRDefault="002C2C39" w:rsidP="002C2C39">
      <w:r>
        <w:t xml:space="preserve">Сетевой разъём </w:t>
      </w:r>
      <w:proofErr w:type="spellStart"/>
      <w:r>
        <w:t>Powercon</w:t>
      </w:r>
      <w:proofErr w:type="spellEnd"/>
      <w:r>
        <w:t xml:space="preserve"> (вход/выход). </w:t>
      </w:r>
    </w:p>
    <w:p w:rsidR="002C2C39" w:rsidRDefault="002C2C39" w:rsidP="002C2C39">
      <w:r>
        <w:t>3 и 5-пиновые XLR-разъем</w:t>
      </w:r>
      <w:proofErr w:type="gramStart"/>
      <w:r>
        <w:t>ы(</w:t>
      </w:r>
      <w:proofErr w:type="gramEnd"/>
      <w:r>
        <w:t xml:space="preserve">вход/выход). </w:t>
      </w:r>
    </w:p>
    <w:p w:rsidR="002C2C39" w:rsidRDefault="002C2C39" w:rsidP="002C2C39">
      <w:r>
        <w:t xml:space="preserve">Потребляемая мощность 495Вт. </w:t>
      </w:r>
    </w:p>
    <w:p w:rsidR="002C2C39" w:rsidRDefault="002C2C39" w:rsidP="002C2C39">
      <w:r>
        <w:t xml:space="preserve">Вес 22,5 кг. </w:t>
      </w:r>
    </w:p>
    <w:p w:rsidR="002C2C39" w:rsidRDefault="002C2C39" w:rsidP="002C2C39">
      <w:r>
        <w:t>Габариты 380х300х616</w:t>
      </w:r>
    </w:p>
    <w:p w:rsidR="009B7CE3" w:rsidRDefault="009B7CE3" w:rsidP="002C2C39"/>
    <w:p w:rsidR="002C2C39" w:rsidRPr="009B7CE3" w:rsidRDefault="002C2C39" w:rsidP="002C2C39">
      <w:pPr>
        <w:rPr>
          <w:b/>
        </w:rPr>
      </w:pPr>
      <w:r w:rsidRPr="009B7CE3">
        <w:rPr>
          <w:b/>
        </w:rPr>
        <w:t>Требования к характеристикам динамического светового прибора SPOT 300</w:t>
      </w:r>
    </w:p>
    <w:p w:rsidR="002C2C39" w:rsidRDefault="002C2C39" w:rsidP="002C2C39">
      <w:r>
        <w:t>Источник свет</w:t>
      </w:r>
      <w:proofErr w:type="gramStart"/>
      <w:r>
        <w:t>а-</w:t>
      </w:r>
      <w:proofErr w:type="gramEnd"/>
      <w:r>
        <w:t xml:space="preserve"> светодиод 300W WHITE, ресурс 100000 часов;</w:t>
      </w:r>
    </w:p>
    <w:p w:rsidR="002C2C39" w:rsidRDefault="002C2C39" w:rsidP="002C2C39">
      <w:proofErr w:type="gramStart"/>
      <w:r>
        <w:t>Линейное</w:t>
      </w:r>
      <w:proofErr w:type="gramEnd"/>
      <w:r>
        <w:t xml:space="preserve"> </w:t>
      </w:r>
      <w:proofErr w:type="spellStart"/>
      <w:r>
        <w:t>диммирование</w:t>
      </w:r>
      <w:proofErr w:type="spellEnd"/>
      <w:r>
        <w:t xml:space="preserve"> 0-100% с плавной регулировкой;</w:t>
      </w:r>
    </w:p>
    <w:p w:rsidR="002C2C39" w:rsidRDefault="002C2C39" w:rsidP="002C2C39">
      <w:r>
        <w:t>Стробирование 0-20 вспышек в секунду;</w:t>
      </w:r>
    </w:p>
    <w:p w:rsidR="002C2C39" w:rsidRDefault="002C2C39" w:rsidP="002C2C39">
      <w:r>
        <w:t xml:space="preserve">Колесо цветовое: не менее 7 </w:t>
      </w:r>
      <w:proofErr w:type="spellStart"/>
      <w:r>
        <w:t>цветов+</w:t>
      </w:r>
      <w:proofErr w:type="gramStart"/>
      <w:r>
        <w:t>открытый</w:t>
      </w:r>
      <w:proofErr w:type="spellEnd"/>
      <w:proofErr w:type="gramEnd"/>
      <w:r>
        <w:t xml:space="preserve"> белый;</w:t>
      </w:r>
    </w:p>
    <w:p w:rsidR="002C2C39" w:rsidRDefault="002C2C39" w:rsidP="002C2C39">
      <w:r>
        <w:t xml:space="preserve">Колесо </w:t>
      </w:r>
      <w:proofErr w:type="spellStart"/>
      <w:r>
        <w:t>гобо</w:t>
      </w:r>
      <w:proofErr w:type="spellEnd"/>
      <w:r>
        <w:t xml:space="preserve"> </w:t>
      </w:r>
      <w:proofErr w:type="gramStart"/>
      <w:r>
        <w:t>статичных</w:t>
      </w:r>
      <w:proofErr w:type="gramEnd"/>
      <w:r>
        <w:t xml:space="preserve">: не менее 8 </w:t>
      </w:r>
      <w:proofErr w:type="spellStart"/>
      <w:r>
        <w:t>гобо+открытый</w:t>
      </w:r>
      <w:proofErr w:type="spellEnd"/>
      <w:r>
        <w:t>;</w:t>
      </w:r>
    </w:p>
    <w:p w:rsidR="002C2C39" w:rsidRDefault="002C2C39" w:rsidP="002C2C39">
      <w:r>
        <w:t xml:space="preserve">Колесо </w:t>
      </w:r>
      <w:proofErr w:type="spellStart"/>
      <w:r>
        <w:t>гобо</w:t>
      </w:r>
      <w:proofErr w:type="spellEnd"/>
      <w:r>
        <w:t xml:space="preserve"> </w:t>
      </w:r>
      <w:proofErr w:type="gramStart"/>
      <w:r>
        <w:t>ротационных</w:t>
      </w:r>
      <w:proofErr w:type="gramEnd"/>
      <w:r>
        <w:t xml:space="preserve">: не менее 7 </w:t>
      </w:r>
      <w:proofErr w:type="spellStart"/>
      <w:r>
        <w:t>гобо+открытый</w:t>
      </w:r>
      <w:proofErr w:type="spellEnd"/>
      <w:r>
        <w:t>;</w:t>
      </w:r>
    </w:p>
    <w:p w:rsidR="002C2C39" w:rsidRDefault="002C2C39" w:rsidP="002C2C39">
      <w:r>
        <w:t>Призма 3-х фасеточная с двухсторонней ротацией;</w:t>
      </w:r>
    </w:p>
    <w:p w:rsidR="002C2C39" w:rsidRDefault="002C2C39" w:rsidP="002C2C39">
      <w:proofErr w:type="spellStart"/>
      <w:r>
        <w:lastRenderedPageBreak/>
        <w:t>Фрост-эффект</w:t>
      </w:r>
      <w:proofErr w:type="spellEnd"/>
      <w:r>
        <w:t>;</w:t>
      </w:r>
    </w:p>
    <w:p w:rsidR="002C2C39" w:rsidRDefault="002C2C39" w:rsidP="002C2C39">
      <w:r>
        <w:t>Моторизованный фокус;</w:t>
      </w:r>
    </w:p>
    <w:p w:rsidR="002C2C39" w:rsidRDefault="002C2C39" w:rsidP="002C2C39">
      <w:r>
        <w:t>Управление DMX-512  15\21 канал;</w:t>
      </w:r>
    </w:p>
    <w:p w:rsidR="002C2C39" w:rsidRDefault="002C2C39" w:rsidP="002C2C39">
      <w:r>
        <w:t>Угол раскрытия луча от 10 до 60 градусов;</w:t>
      </w:r>
    </w:p>
    <w:p w:rsidR="002C2C39" w:rsidRDefault="002C2C39" w:rsidP="002C2C39">
      <w:r>
        <w:t xml:space="preserve">Вращение: </w:t>
      </w:r>
      <w:proofErr w:type="spellStart"/>
      <w:r>
        <w:t>Pan</w:t>
      </w:r>
      <w:proofErr w:type="spellEnd"/>
      <w:r>
        <w:t xml:space="preserve"> 540’/ </w:t>
      </w:r>
      <w:proofErr w:type="spellStart"/>
      <w:r>
        <w:t>Tilt</w:t>
      </w:r>
      <w:proofErr w:type="spellEnd"/>
      <w:r>
        <w:t xml:space="preserve"> 270’</w:t>
      </w:r>
    </w:p>
    <w:p w:rsidR="002C2C39" w:rsidRDefault="002C2C39" w:rsidP="002C2C39">
      <w:r>
        <w:t>Габариты: 420х300х620 мм;</w:t>
      </w:r>
    </w:p>
    <w:p w:rsidR="002C2C39" w:rsidRDefault="002C2C39" w:rsidP="002C2C39">
      <w:r>
        <w:t xml:space="preserve">Вес: 21 кг </w:t>
      </w:r>
    </w:p>
    <w:p w:rsidR="002C2C39" w:rsidRDefault="002C2C39" w:rsidP="002C2C39"/>
    <w:p w:rsidR="002C2C39" w:rsidRPr="009B7CE3" w:rsidRDefault="002C2C39" w:rsidP="002C2C39">
      <w:pPr>
        <w:rPr>
          <w:b/>
        </w:rPr>
      </w:pPr>
      <w:r w:rsidRPr="009B7CE3">
        <w:rPr>
          <w:b/>
        </w:rPr>
        <w:t xml:space="preserve">Требования к характеристикам динамического светового прибора BEAM 260 </w:t>
      </w:r>
    </w:p>
    <w:p w:rsidR="002C2C39" w:rsidRDefault="002C2C39" w:rsidP="002C2C39">
      <w:r>
        <w:t>Источник свет</w:t>
      </w:r>
      <w:proofErr w:type="gramStart"/>
      <w:r>
        <w:t>а-</w:t>
      </w:r>
      <w:proofErr w:type="gramEnd"/>
      <w:r>
        <w:t xml:space="preserve"> лампа </w:t>
      </w:r>
      <w:proofErr w:type="spellStart"/>
      <w:r>
        <w:t>Jodn</w:t>
      </w:r>
      <w:proofErr w:type="spellEnd"/>
      <w:r>
        <w:t xml:space="preserve"> 9R 260W;</w:t>
      </w:r>
    </w:p>
    <w:p w:rsidR="002C2C39" w:rsidRDefault="002C2C39" w:rsidP="002C2C39">
      <w:r>
        <w:t>Потребляемая мощность- 500 Вт;</w:t>
      </w:r>
    </w:p>
    <w:p w:rsidR="002C2C39" w:rsidRDefault="002C2C39" w:rsidP="002C2C39">
      <w:r>
        <w:t>Угол раскрытия луча до 3,5 градусов;</w:t>
      </w:r>
    </w:p>
    <w:p w:rsidR="002C2C39" w:rsidRDefault="002C2C39" w:rsidP="002C2C39">
      <w:r>
        <w:t xml:space="preserve">Колесо цветов: 13 </w:t>
      </w:r>
      <w:proofErr w:type="spellStart"/>
      <w:r>
        <w:t>цветов+</w:t>
      </w:r>
      <w:proofErr w:type="gramStart"/>
      <w:r>
        <w:t>белый</w:t>
      </w:r>
      <w:proofErr w:type="spellEnd"/>
      <w:proofErr w:type="gramEnd"/>
      <w:r>
        <w:t>;</w:t>
      </w:r>
    </w:p>
    <w:p w:rsidR="002C2C39" w:rsidRDefault="002C2C39" w:rsidP="002C2C39">
      <w:r>
        <w:t xml:space="preserve">Колесо </w:t>
      </w:r>
      <w:proofErr w:type="spellStart"/>
      <w:r>
        <w:t>гобо</w:t>
      </w:r>
      <w:proofErr w:type="spellEnd"/>
      <w:r>
        <w:t xml:space="preserve">: 17 </w:t>
      </w:r>
      <w:proofErr w:type="gramStart"/>
      <w:r>
        <w:t>фиксированных</w:t>
      </w:r>
      <w:proofErr w:type="gramEnd"/>
      <w:r>
        <w:t xml:space="preserve"> </w:t>
      </w:r>
      <w:proofErr w:type="spellStart"/>
      <w:r>
        <w:t>гобо+открытый</w:t>
      </w:r>
      <w:proofErr w:type="spellEnd"/>
      <w:r>
        <w:t>;</w:t>
      </w:r>
    </w:p>
    <w:p w:rsidR="002C2C39" w:rsidRDefault="002C2C39" w:rsidP="002C2C39">
      <w:r>
        <w:t>Прима 8-фасеточная с ротацией;</w:t>
      </w:r>
    </w:p>
    <w:p w:rsidR="002C2C39" w:rsidRDefault="002C2C39" w:rsidP="002C2C39">
      <w:r>
        <w:t>Стробирование от 0 до 13 вспышек в секунду;</w:t>
      </w:r>
    </w:p>
    <w:p w:rsidR="002C2C39" w:rsidRDefault="002C2C39" w:rsidP="002C2C39">
      <w:r>
        <w:t xml:space="preserve">Фокус, </w:t>
      </w:r>
      <w:proofErr w:type="spellStart"/>
      <w:r>
        <w:t>фрост-эффект</w:t>
      </w:r>
      <w:proofErr w:type="spellEnd"/>
      <w:r>
        <w:t>;</w:t>
      </w:r>
    </w:p>
    <w:p w:rsidR="002C2C39" w:rsidRDefault="002C2C39" w:rsidP="002C2C39">
      <w:r>
        <w:t xml:space="preserve">Управление 16 каналов по протоколу DMX-512; </w:t>
      </w:r>
      <w:proofErr w:type="spellStart"/>
      <w:r>
        <w:t>Master</w:t>
      </w:r>
      <w:proofErr w:type="spellEnd"/>
      <w:r>
        <w:t>/</w:t>
      </w:r>
      <w:proofErr w:type="spellStart"/>
      <w:r>
        <w:t>Slave</w:t>
      </w:r>
      <w:proofErr w:type="spellEnd"/>
      <w:r>
        <w:t xml:space="preserve">; </w:t>
      </w:r>
      <w:proofErr w:type="spellStart"/>
      <w:r>
        <w:t>Auto</w:t>
      </w:r>
      <w:proofErr w:type="spellEnd"/>
    </w:p>
    <w:p w:rsidR="002C2C39" w:rsidRDefault="002C2C39" w:rsidP="002C2C39">
      <w:r>
        <w:t>Габариты: 310х260х540 мм;</w:t>
      </w:r>
    </w:p>
    <w:p w:rsidR="002C2C39" w:rsidRDefault="002C2C39" w:rsidP="002C2C39">
      <w:r>
        <w:t>Вес: 18 кг.</w:t>
      </w:r>
    </w:p>
    <w:p w:rsidR="009B7CE3" w:rsidRDefault="009B7CE3" w:rsidP="002C2C39"/>
    <w:p w:rsidR="002C2C39" w:rsidRPr="009B7CE3" w:rsidRDefault="002C2C39" w:rsidP="002C2C39">
      <w:pPr>
        <w:rPr>
          <w:b/>
        </w:rPr>
      </w:pPr>
      <w:r w:rsidRPr="009B7CE3">
        <w:rPr>
          <w:b/>
        </w:rPr>
        <w:t>Требования к характеристикам динамического светового прибора WASH 7x40</w:t>
      </w:r>
    </w:p>
    <w:p w:rsidR="002C2C39" w:rsidRDefault="002C2C39" w:rsidP="002C2C39">
      <w:r>
        <w:t>Источник света: светодиод  OSRAM 40W RGBW X7R;</w:t>
      </w:r>
    </w:p>
    <w:p w:rsidR="002C2C39" w:rsidRDefault="002C2C39" w:rsidP="002C2C39">
      <w:r>
        <w:t>Потребляемая мощность 300 Вт;</w:t>
      </w:r>
    </w:p>
    <w:p w:rsidR="002C2C39" w:rsidRDefault="002C2C39" w:rsidP="002C2C39">
      <w:r>
        <w:t>8 классических цветовых температур: 2500\2800\3200\3600\4200\5500\6000\8000К;</w:t>
      </w:r>
    </w:p>
    <w:p w:rsidR="002C2C39" w:rsidRDefault="002C2C39" w:rsidP="002C2C39">
      <w:r>
        <w:t>Угол раскрытия луча: 4,5-36 градусов;</w:t>
      </w:r>
    </w:p>
    <w:p w:rsidR="002C2C39" w:rsidRDefault="002C2C39" w:rsidP="002C2C39">
      <w:r>
        <w:t xml:space="preserve">Управление 12\17 каналов по протоколу DMX-512; </w:t>
      </w:r>
      <w:proofErr w:type="spellStart"/>
      <w:r>
        <w:t>Master\Slave</w:t>
      </w:r>
      <w:proofErr w:type="spellEnd"/>
      <w:r>
        <w:t xml:space="preserve">; </w:t>
      </w:r>
      <w:proofErr w:type="spellStart"/>
      <w:r>
        <w:t>Sound</w:t>
      </w:r>
      <w:proofErr w:type="spellEnd"/>
      <w:r>
        <w:t xml:space="preserve"> </w:t>
      </w:r>
      <w:proofErr w:type="spellStart"/>
      <w:r>
        <w:t>control</w:t>
      </w:r>
      <w:proofErr w:type="spellEnd"/>
      <w:r>
        <w:t>;</w:t>
      </w:r>
    </w:p>
    <w:p w:rsidR="002C2C39" w:rsidRDefault="002C2C39" w:rsidP="002C2C39">
      <w:r>
        <w:t>Габариты: 310х255х370 мм;</w:t>
      </w:r>
    </w:p>
    <w:p w:rsidR="002C2C39" w:rsidRDefault="002C2C39" w:rsidP="002C2C39">
      <w:r>
        <w:t>Вес: 9,5 кг</w:t>
      </w:r>
    </w:p>
    <w:p w:rsidR="009B7CE3" w:rsidRDefault="009B7CE3" w:rsidP="002C2C39"/>
    <w:p w:rsidR="002C2C39" w:rsidRPr="009B7CE3" w:rsidRDefault="002C2C39" w:rsidP="002C2C39">
      <w:pPr>
        <w:rPr>
          <w:b/>
        </w:rPr>
      </w:pPr>
      <w:r w:rsidRPr="009B7CE3">
        <w:rPr>
          <w:b/>
        </w:rPr>
        <w:t>Требования к характеристикам светового прибора  LED PAR</w:t>
      </w:r>
    </w:p>
    <w:p w:rsidR="002C2C39" w:rsidRDefault="002C2C39" w:rsidP="002C2C39">
      <w:r>
        <w:t xml:space="preserve">Питание: AC100-240В 50/60 Гц </w:t>
      </w:r>
    </w:p>
    <w:p w:rsidR="002C2C39" w:rsidRDefault="002C2C39" w:rsidP="002C2C39">
      <w:r>
        <w:t xml:space="preserve">Мощность диода: 200 W </w:t>
      </w:r>
    </w:p>
    <w:p w:rsidR="002C2C39" w:rsidRDefault="002C2C39" w:rsidP="002C2C39">
      <w:r>
        <w:t xml:space="preserve">Потребляемая мощность: не менее 250 W </w:t>
      </w:r>
    </w:p>
    <w:p w:rsidR="002C2C39" w:rsidRDefault="002C2C39" w:rsidP="002C2C39">
      <w:r>
        <w:t>Режимы работы: DMX512/</w:t>
      </w:r>
      <w:proofErr w:type="spellStart"/>
      <w:r>
        <w:t>Master-Slave</w:t>
      </w:r>
      <w:proofErr w:type="spellEnd"/>
      <w:r>
        <w:t xml:space="preserve"> </w:t>
      </w:r>
    </w:p>
    <w:p w:rsidR="002C2C39" w:rsidRDefault="002C2C39" w:rsidP="002C2C39">
      <w:r>
        <w:t xml:space="preserve">DMX управление: не менее 4 канала </w:t>
      </w:r>
    </w:p>
    <w:p w:rsidR="002C2C39" w:rsidRDefault="002C2C39" w:rsidP="002C2C39">
      <w:r>
        <w:t xml:space="preserve">Угол раскрытия: 60° </w:t>
      </w:r>
    </w:p>
    <w:p w:rsidR="002C2C39" w:rsidRDefault="002C2C39" w:rsidP="002C2C39">
      <w:r>
        <w:t xml:space="preserve">Цвет: теплый 3200 K/холодный 5500K/смешанный белый </w:t>
      </w:r>
    </w:p>
    <w:p w:rsidR="002C2C39" w:rsidRDefault="002C2C39" w:rsidP="002C2C39">
      <w:r>
        <w:t xml:space="preserve">Защита: IP20 </w:t>
      </w:r>
    </w:p>
    <w:p w:rsidR="002C2C39" w:rsidRDefault="002C2C39" w:rsidP="002C2C39">
      <w:proofErr w:type="spellStart"/>
      <w:r>
        <w:t>Кашетирующие</w:t>
      </w:r>
      <w:proofErr w:type="spellEnd"/>
      <w:r>
        <w:t xml:space="preserve"> шторки в комплекте;</w:t>
      </w:r>
    </w:p>
    <w:p w:rsidR="002C2C39" w:rsidRDefault="002C2C39" w:rsidP="002C2C39">
      <w:r>
        <w:t xml:space="preserve">Срок службы светодиода: 50 000 часов </w:t>
      </w:r>
    </w:p>
    <w:p w:rsidR="002C2C39" w:rsidRDefault="002C2C39" w:rsidP="002C2C39">
      <w:r>
        <w:t>Рабочая температура: -25 +40</w:t>
      </w:r>
      <w:r>
        <w:rPr>
          <w:rFonts w:ascii="Cambria Math" w:hAnsi="Cambria Math" w:cs="Cambria Math"/>
        </w:rPr>
        <w:t>℃</w:t>
      </w:r>
      <w:r>
        <w:t xml:space="preserve"> </w:t>
      </w:r>
    </w:p>
    <w:p w:rsidR="009B7CE3" w:rsidRDefault="009B7CE3" w:rsidP="002C2C39"/>
    <w:p w:rsidR="002C2C39" w:rsidRPr="009B7CE3" w:rsidRDefault="002C2C39" w:rsidP="002C2C39">
      <w:pPr>
        <w:rPr>
          <w:b/>
        </w:rPr>
      </w:pPr>
      <w:r w:rsidRPr="009B7CE3">
        <w:rPr>
          <w:b/>
        </w:rPr>
        <w:t>Требования к характеристикам стоек для световых приборов LST200BK.</w:t>
      </w:r>
    </w:p>
    <w:p w:rsidR="002C2C39" w:rsidRDefault="002C2C39" w:rsidP="002C2C39">
      <w:r>
        <w:t xml:space="preserve">Две световые стойки, с секцией ферм и 2-х Т-образных перекладин </w:t>
      </w:r>
    </w:p>
    <w:p w:rsidR="002C2C39" w:rsidRDefault="002C2C39" w:rsidP="002C2C39">
      <w:r>
        <w:t xml:space="preserve">Диаметр штанги - 38 мм </w:t>
      </w:r>
    </w:p>
    <w:p w:rsidR="002C2C39" w:rsidRDefault="002C2C39" w:rsidP="002C2C39">
      <w:r>
        <w:t xml:space="preserve">Регулируемая высота не менее 1620-3250 мм </w:t>
      </w:r>
    </w:p>
    <w:p w:rsidR="002C2C39" w:rsidRDefault="002C2C39" w:rsidP="002C2C39">
      <w:r>
        <w:t xml:space="preserve">Длина Т-элемента - 1220 мм </w:t>
      </w:r>
    </w:p>
    <w:p w:rsidR="002C2C39" w:rsidRDefault="002C2C39" w:rsidP="002C2C39">
      <w:r>
        <w:t xml:space="preserve">Длина секции - 2х1500 = 3000 мм. </w:t>
      </w:r>
    </w:p>
    <w:p w:rsidR="002C2C39" w:rsidRDefault="002C2C39" w:rsidP="002C2C39">
      <w:r>
        <w:t>Нагрузка 100кг</w:t>
      </w:r>
    </w:p>
    <w:p w:rsidR="002C2C39" w:rsidRDefault="002C2C39" w:rsidP="002C2C39">
      <w:r>
        <w:t xml:space="preserve">Материал - алюминий </w:t>
      </w:r>
    </w:p>
    <w:p w:rsidR="002C2C39" w:rsidRDefault="002C2C39" w:rsidP="002C2C39">
      <w:r>
        <w:t xml:space="preserve">Вес -20 кг </w:t>
      </w:r>
    </w:p>
    <w:p w:rsidR="002C2C39" w:rsidRDefault="002C2C39" w:rsidP="002C2C39">
      <w:r>
        <w:lastRenderedPageBreak/>
        <w:t>Цвет – черный</w:t>
      </w:r>
    </w:p>
    <w:p w:rsidR="002C2C39" w:rsidRPr="009B7CE3" w:rsidRDefault="002C2C39" w:rsidP="002C2C39">
      <w:pPr>
        <w:rPr>
          <w:b/>
        </w:rPr>
      </w:pPr>
      <w:r w:rsidRPr="009B7CE3">
        <w:rPr>
          <w:b/>
        </w:rPr>
        <w:t>Требования к характеристикам стоек для световых приборов LST100BK</w:t>
      </w:r>
    </w:p>
    <w:p w:rsidR="002C2C39" w:rsidRDefault="002C2C39" w:rsidP="002C2C39">
      <w:r>
        <w:t xml:space="preserve">Световая стойка, диаметр штанги 38 мм </w:t>
      </w:r>
    </w:p>
    <w:p w:rsidR="002C2C39" w:rsidRDefault="002C2C39" w:rsidP="002C2C39">
      <w:r>
        <w:t xml:space="preserve">Регулируемая высота не менее 1620-3250 мм </w:t>
      </w:r>
    </w:p>
    <w:p w:rsidR="002C2C39" w:rsidRDefault="002C2C39" w:rsidP="002C2C39">
      <w:r>
        <w:t xml:space="preserve">Длина Т-элемента -1220 мм </w:t>
      </w:r>
    </w:p>
    <w:p w:rsidR="002C2C39" w:rsidRDefault="002C2C39" w:rsidP="002C2C39">
      <w:r>
        <w:t xml:space="preserve">Материал - алюминий </w:t>
      </w:r>
    </w:p>
    <w:p w:rsidR="002C2C39" w:rsidRDefault="002C2C39" w:rsidP="002C2C39">
      <w:r>
        <w:t xml:space="preserve">Вес - 5 кг </w:t>
      </w:r>
    </w:p>
    <w:p w:rsidR="002C2C39" w:rsidRDefault="002C2C39" w:rsidP="002C2C39">
      <w:r>
        <w:t xml:space="preserve">Цвет </w:t>
      </w:r>
      <w:r w:rsidR="004134E1">
        <w:t>–</w:t>
      </w:r>
      <w:r>
        <w:t xml:space="preserve"> черный</w:t>
      </w:r>
    </w:p>
    <w:p w:rsidR="004134E1" w:rsidRDefault="004134E1" w:rsidP="002C2C39"/>
    <w:p w:rsidR="004134E1" w:rsidRDefault="004134E1" w:rsidP="002C2C39"/>
    <w:sectPr w:rsidR="004134E1" w:rsidSect="00392B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Khmer UI">
    <w:panose1 w:val="020B0502040204020203"/>
    <w:charset w:val="00"/>
    <w:family w:val="swiss"/>
    <w:pitch w:val="variable"/>
    <w:sig w:usb0="8000002F" w:usb1="0000204A" w:usb2="0001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74CC9"/>
    <w:multiLevelType w:val="hybridMultilevel"/>
    <w:tmpl w:val="FA540EB4"/>
    <w:lvl w:ilvl="0" w:tplc="FB56B86C">
      <w:start w:val="1"/>
      <w:numFmt w:val="bullet"/>
      <w:lvlText w:val="-"/>
      <w:lvlJc w:val="left"/>
      <w:pPr>
        <w:ind w:left="1428" w:hanging="360"/>
      </w:pPr>
      <w:rPr>
        <w:rFonts w:ascii="Khmer UI" w:hAnsi="Khmer U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7058289D"/>
    <w:multiLevelType w:val="multilevel"/>
    <w:tmpl w:val="02328872"/>
    <w:lvl w:ilvl="0">
      <w:start w:val="1"/>
      <w:numFmt w:val="decimal"/>
      <w:lvlText w:val="%1."/>
      <w:lvlJc w:val="left"/>
      <w:pPr>
        <w:tabs>
          <w:tab w:val="num" w:pos="1069"/>
        </w:tabs>
        <w:ind w:left="1069" w:hanging="360"/>
      </w:pPr>
      <w:rPr>
        <w:rFonts w:cs="Times New Roman" w:hint="default"/>
        <w:b/>
        <w:i w:val="0"/>
        <w:color w:val="auto"/>
        <w:sz w:val="24"/>
        <w:szCs w:val="24"/>
      </w:rPr>
    </w:lvl>
    <w:lvl w:ilvl="1">
      <w:start w:val="2"/>
      <w:numFmt w:val="decimal"/>
      <w:isLgl/>
      <w:lvlText w:val="%1.%2."/>
      <w:lvlJc w:val="left"/>
      <w:pPr>
        <w:ind w:left="207" w:hanging="720"/>
      </w:pPr>
      <w:rPr>
        <w:rFonts w:cs="Times New Roman" w:hint="default"/>
      </w:rPr>
    </w:lvl>
    <w:lvl w:ilvl="2">
      <w:start w:val="1"/>
      <w:numFmt w:val="decimal"/>
      <w:isLgl/>
      <w:lvlText w:val="%1.%2.%3."/>
      <w:lvlJc w:val="left"/>
      <w:pPr>
        <w:ind w:left="207" w:hanging="720"/>
      </w:pPr>
      <w:rPr>
        <w:rFonts w:cs="Times New Roman" w:hint="default"/>
      </w:rPr>
    </w:lvl>
    <w:lvl w:ilvl="3">
      <w:start w:val="1"/>
      <w:numFmt w:val="decimal"/>
      <w:isLgl/>
      <w:lvlText w:val="%1.%2.%3.%4."/>
      <w:lvlJc w:val="left"/>
      <w:pPr>
        <w:ind w:left="567" w:hanging="1080"/>
      </w:pPr>
      <w:rPr>
        <w:rFonts w:cs="Times New Roman" w:hint="default"/>
      </w:rPr>
    </w:lvl>
    <w:lvl w:ilvl="4">
      <w:start w:val="1"/>
      <w:numFmt w:val="decimal"/>
      <w:isLgl/>
      <w:lvlText w:val="%1.%2.%3.%4.%5."/>
      <w:lvlJc w:val="left"/>
      <w:pPr>
        <w:ind w:left="567" w:hanging="1080"/>
      </w:pPr>
      <w:rPr>
        <w:rFonts w:cs="Times New Roman" w:hint="default"/>
      </w:rPr>
    </w:lvl>
    <w:lvl w:ilvl="5">
      <w:start w:val="1"/>
      <w:numFmt w:val="decimal"/>
      <w:isLgl/>
      <w:lvlText w:val="%1.%2.%3.%4.%5.%6."/>
      <w:lvlJc w:val="left"/>
      <w:pPr>
        <w:ind w:left="927" w:hanging="1440"/>
      </w:pPr>
      <w:rPr>
        <w:rFonts w:cs="Times New Roman" w:hint="default"/>
      </w:rPr>
    </w:lvl>
    <w:lvl w:ilvl="6">
      <w:start w:val="1"/>
      <w:numFmt w:val="decimal"/>
      <w:isLgl/>
      <w:lvlText w:val="%1.%2.%3.%4.%5.%6.%7."/>
      <w:lvlJc w:val="left"/>
      <w:pPr>
        <w:ind w:left="1287" w:hanging="1800"/>
      </w:pPr>
      <w:rPr>
        <w:rFonts w:cs="Times New Roman" w:hint="default"/>
      </w:rPr>
    </w:lvl>
    <w:lvl w:ilvl="7">
      <w:start w:val="1"/>
      <w:numFmt w:val="decimal"/>
      <w:isLgl/>
      <w:lvlText w:val="%1.%2.%3.%4.%5.%6.%7.%8."/>
      <w:lvlJc w:val="left"/>
      <w:pPr>
        <w:ind w:left="1287" w:hanging="1800"/>
      </w:pPr>
      <w:rPr>
        <w:rFonts w:cs="Times New Roman" w:hint="default"/>
      </w:rPr>
    </w:lvl>
    <w:lvl w:ilvl="8">
      <w:start w:val="1"/>
      <w:numFmt w:val="decimal"/>
      <w:isLgl/>
      <w:lvlText w:val="%1.%2.%3.%4.%5.%6.%7.%8.%9."/>
      <w:lvlJc w:val="left"/>
      <w:pPr>
        <w:ind w:left="1647"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015"/>
    <w:rsid w:val="00037263"/>
    <w:rsid w:val="000763DE"/>
    <w:rsid w:val="000B2AF0"/>
    <w:rsid w:val="00241673"/>
    <w:rsid w:val="002C2C39"/>
    <w:rsid w:val="00307461"/>
    <w:rsid w:val="00392BE1"/>
    <w:rsid w:val="003A1015"/>
    <w:rsid w:val="00407F40"/>
    <w:rsid w:val="004134E1"/>
    <w:rsid w:val="004E2817"/>
    <w:rsid w:val="005645B1"/>
    <w:rsid w:val="00595206"/>
    <w:rsid w:val="00651DF6"/>
    <w:rsid w:val="006C77EE"/>
    <w:rsid w:val="007F1327"/>
    <w:rsid w:val="00823985"/>
    <w:rsid w:val="008B3327"/>
    <w:rsid w:val="008D564A"/>
    <w:rsid w:val="00965575"/>
    <w:rsid w:val="009B7CE3"/>
    <w:rsid w:val="00A0676C"/>
    <w:rsid w:val="00A86170"/>
    <w:rsid w:val="00B100AF"/>
    <w:rsid w:val="00B33CF3"/>
    <w:rsid w:val="00D11B5F"/>
    <w:rsid w:val="00EF5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015"/>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3A1015"/>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015"/>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uiPriority w:val="9"/>
    <w:rsid w:val="003A1015"/>
    <w:rPr>
      <w:rFonts w:ascii="Times New Roman" w:eastAsia="Times New Roman" w:hAnsi="Times New Roman" w:cs="Times New Roman"/>
      <w:b/>
      <w:kern w:val="28"/>
      <w:sz w:val="36"/>
      <w:szCs w:val="20"/>
      <w:lang w:eastAsia="ru-RU"/>
    </w:rPr>
  </w:style>
  <w:style w:type="paragraph" w:styleId="a3">
    <w:name w:val="Normal (Web)"/>
    <w:aliases w:val="Обычный (Web)"/>
    <w:basedOn w:val="a"/>
    <w:uiPriority w:val="99"/>
    <w:rsid w:val="003A1015"/>
    <w:pPr>
      <w:spacing w:before="100" w:beforeAutospacing="1" w:after="100" w:afterAutospacing="1"/>
    </w:pPr>
  </w:style>
  <w:style w:type="paragraph" w:styleId="a4">
    <w:name w:val="List Paragraph"/>
    <w:basedOn w:val="a"/>
    <w:link w:val="a5"/>
    <w:uiPriority w:val="34"/>
    <w:qFormat/>
    <w:rsid w:val="003A1015"/>
    <w:pPr>
      <w:ind w:left="720"/>
    </w:pPr>
    <w:rPr>
      <w:lang w:eastAsia="en-US"/>
    </w:rPr>
  </w:style>
  <w:style w:type="character" w:customStyle="1" w:styleId="a5">
    <w:name w:val="Абзац списка Знак"/>
    <w:link w:val="a4"/>
    <w:uiPriority w:val="34"/>
    <w:locked/>
    <w:rsid w:val="003A1015"/>
    <w:rPr>
      <w:rFonts w:ascii="Times New Roman" w:eastAsia="Times New Roman" w:hAnsi="Times New Roman" w:cs="Times New Roman"/>
      <w:sz w:val="24"/>
      <w:szCs w:val="24"/>
    </w:rPr>
  </w:style>
  <w:style w:type="paragraph" w:customStyle="1" w:styleId="12">
    <w:name w:val="Абзац списка1"/>
    <w:basedOn w:val="a"/>
    <w:link w:val="ListParagraphChar"/>
    <w:uiPriority w:val="99"/>
    <w:rsid w:val="003A1015"/>
    <w:pPr>
      <w:ind w:left="708"/>
      <w:jc w:val="left"/>
    </w:pPr>
    <w:rPr>
      <w:rFonts w:eastAsia="Calibri"/>
    </w:rPr>
  </w:style>
  <w:style w:type="paragraph" w:customStyle="1" w:styleId="ConsPlusNonformat">
    <w:name w:val="ConsPlusNonformat"/>
    <w:uiPriority w:val="99"/>
    <w:rsid w:val="003A10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ListParagraphChar">
    <w:name w:val="List Paragraph Char"/>
    <w:link w:val="12"/>
    <w:uiPriority w:val="99"/>
    <w:locked/>
    <w:rsid w:val="003A1015"/>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1619</Words>
  <Characters>9233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Арена</Company>
  <LinksUpToDate>false</LinksUpToDate>
  <CharactersWithSpaces>10831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Aigul</cp:lastModifiedBy>
  <cp:revision>11</cp:revision>
  <dcterms:created xsi:type="dcterms:W3CDTF">2019-07-05T05:52:00Z</dcterms:created>
  <dcterms:modified xsi:type="dcterms:W3CDTF">2019-08-15T06:44:00Z</dcterms:modified>
</cp:coreProperties>
</file>