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12" w:rsidRDefault="00BC3158" w:rsidP="009910E8">
      <w:pPr>
        <w:contextualSpacing/>
        <w:jc w:val="right"/>
      </w:pPr>
      <w:r w:rsidRPr="002F4A4E">
        <w:t>Приложение</w:t>
      </w:r>
      <w:r w:rsidRPr="00E477C6">
        <w:t xml:space="preserve"> </w:t>
      </w:r>
      <w:r w:rsidR="001D0F6E">
        <w:t>№ 1</w:t>
      </w:r>
    </w:p>
    <w:p w:rsidR="00BC3158" w:rsidRPr="00566FA5" w:rsidRDefault="002F4A4E" w:rsidP="00566FA5">
      <w:pPr>
        <w:contextualSpacing/>
        <w:jc w:val="right"/>
      </w:pPr>
      <w:r>
        <w:t xml:space="preserve"> </w:t>
      </w:r>
      <w:r w:rsidR="00BC3158" w:rsidRPr="00E477C6">
        <w:t xml:space="preserve">к </w:t>
      </w:r>
      <w:r w:rsidR="00861DEB">
        <w:t xml:space="preserve">извещению </w:t>
      </w:r>
      <w:r w:rsidR="00BC3158" w:rsidRPr="00E477C6">
        <w:t>запроса котировок</w:t>
      </w:r>
    </w:p>
    <w:p w:rsidR="00566FA5" w:rsidRDefault="00566FA5" w:rsidP="00566FA5">
      <w:pPr>
        <w:suppressAutoHyphens w:val="0"/>
        <w:jc w:val="center"/>
        <w:rPr>
          <w:b/>
          <w:bCs/>
          <w:sz w:val="28"/>
          <w:szCs w:val="28"/>
          <w:lang w:eastAsia="ru-RU"/>
        </w:rPr>
      </w:pPr>
    </w:p>
    <w:p w:rsidR="00566FA5" w:rsidRPr="00566FA5" w:rsidRDefault="004611C7" w:rsidP="00566FA5">
      <w:pPr>
        <w:suppressAutoHyphens w:val="0"/>
        <w:jc w:val="center"/>
        <w:rPr>
          <w:b/>
          <w:bCs/>
          <w:sz w:val="28"/>
          <w:szCs w:val="28"/>
          <w:lang w:eastAsia="ru-RU"/>
        </w:rPr>
      </w:pPr>
      <w:r w:rsidRPr="00566FA5">
        <w:rPr>
          <w:b/>
          <w:bCs/>
          <w:sz w:val="28"/>
          <w:szCs w:val="28"/>
          <w:lang w:eastAsia="ru-RU"/>
        </w:rPr>
        <w:t>Техническое зад</w:t>
      </w:r>
      <w:r w:rsidR="008003DF" w:rsidRPr="00566FA5">
        <w:rPr>
          <w:b/>
          <w:bCs/>
          <w:sz w:val="28"/>
          <w:szCs w:val="28"/>
          <w:lang w:eastAsia="ru-RU"/>
        </w:rPr>
        <w:t>ание</w:t>
      </w:r>
    </w:p>
    <w:p w:rsidR="004611C7" w:rsidRDefault="008003DF" w:rsidP="00566FA5">
      <w:pPr>
        <w:suppressAutoHyphens w:val="0"/>
        <w:jc w:val="center"/>
        <w:rPr>
          <w:b/>
          <w:bCs/>
          <w:lang w:eastAsia="ru-RU"/>
        </w:rPr>
      </w:pPr>
      <w:r w:rsidRPr="0083219C">
        <w:rPr>
          <w:b/>
          <w:bCs/>
          <w:lang w:eastAsia="ru-RU"/>
        </w:rPr>
        <w:t xml:space="preserve"> на поставку </w:t>
      </w:r>
      <w:r w:rsidR="00624B45">
        <w:rPr>
          <w:b/>
          <w:bCs/>
          <w:lang w:eastAsia="ru-RU"/>
        </w:rPr>
        <w:t xml:space="preserve">бензина, дизельного топлива на </w:t>
      </w:r>
      <w:r w:rsidR="00E53643">
        <w:rPr>
          <w:b/>
          <w:bCs/>
          <w:lang w:eastAsia="ru-RU"/>
        </w:rPr>
        <w:t>3</w:t>
      </w:r>
      <w:r w:rsidR="00967E12">
        <w:rPr>
          <w:b/>
          <w:bCs/>
          <w:lang w:eastAsia="ru-RU"/>
        </w:rPr>
        <w:t xml:space="preserve"> </w:t>
      </w:r>
      <w:r w:rsidR="002F4A4E">
        <w:rPr>
          <w:b/>
          <w:bCs/>
          <w:lang w:eastAsia="ru-RU"/>
        </w:rPr>
        <w:t>квартал 202</w:t>
      </w:r>
      <w:r w:rsidR="0052738A">
        <w:rPr>
          <w:b/>
          <w:bCs/>
          <w:lang w:eastAsia="ru-RU"/>
        </w:rPr>
        <w:t>2</w:t>
      </w:r>
      <w:r w:rsidR="002F4A4E">
        <w:rPr>
          <w:b/>
          <w:bCs/>
          <w:lang w:eastAsia="ru-RU"/>
        </w:rPr>
        <w:t xml:space="preserve"> года</w:t>
      </w:r>
    </w:p>
    <w:p w:rsidR="00566FA5" w:rsidRPr="00566FA5" w:rsidRDefault="00566FA5" w:rsidP="00566FA5">
      <w:pPr>
        <w:suppressAutoHyphens w:val="0"/>
        <w:jc w:val="center"/>
        <w:rPr>
          <w:b/>
          <w:bCs/>
          <w:iCs/>
          <w:lang w:eastAsia="ru-RU"/>
        </w:rPr>
      </w:pPr>
    </w:p>
    <w:p w:rsidR="00F27051" w:rsidRPr="00566FA5" w:rsidRDefault="00FC61C1" w:rsidP="00566FA5">
      <w:pPr>
        <w:pStyle w:val="af1"/>
        <w:spacing w:after="0" w:line="240" w:lineRule="auto"/>
        <w:ind w:left="0" w:firstLine="567"/>
        <w:rPr>
          <w:rFonts w:ascii="Times New Roman" w:hAnsi="Times New Roman" w:cs="Times New Roman"/>
        </w:rPr>
      </w:pPr>
      <w:r>
        <w:rPr>
          <w:rFonts w:ascii="Times New Roman" w:hAnsi="Times New Roman" w:cs="Times New Roman"/>
          <w:b/>
        </w:rPr>
        <w:t xml:space="preserve">1. </w:t>
      </w:r>
      <w:r w:rsidRPr="005B05CB">
        <w:rPr>
          <w:rFonts w:ascii="Times New Roman" w:hAnsi="Times New Roman" w:cs="Times New Roman"/>
          <w:b/>
        </w:rPr>
        <w:t>Срок поставки</w:t>
      </w:r>
      <w:r w:rsidR="0052738A">
        <w:rPr>
          <w:rFonts w:ascii="Times New Roman" w:hAnsi="Times New Roman" w:cs="Times New Roman"/>
          <w:b/>
        </w:rPr>
        <w:t>:</w:t>
      </w:r>
      <w:r w:rsidRPr="00566FA5">
        <w:rPr>
          <w:rFonts w:ascii="Times New Roman" w:hAnsi="Times New Roman" w:cs="Times New Roman"/>
        </w:rPr>
        <w:t xml:space="preserve"> С </w:t>
      </w:r>
      <w:r w:rsidR="00624B45" w:rsidRPr="00566FA5">
        <w:rPr>
          <w:rFonts w:ascii="Times New Roman" w:hAnsi="Times New Roman" w:cs="Times New Roman"/>
        </w:rPr>
        <w:t>01</w:t>
      </w:r>
      <w:r w:rsidR="00DE55EE" w:rsidRPr="00566FA5">
        <w:rPr>
          <w:rFonts w:ascii="Times New Roman" w:hAnsi="Times New Roman" w:cs="Times New Roman"/>
        </w:rPr>
        <w:t xml:space="preserve"> </w:t>
      </w:r>
      <w:r w:rsidR="00E53643">
        <w:rPr>
          <w:rFonts w:ascii="Times New Roman" w:hAnsi="Times New Roman" w:cs="Times New Roman"/>
        </w:rPr>
        <w:t>июля</w:t>
      </w:r>
      <w:r w:rsidR="00624B45" w:rsidRPr="00566FA5">
        <w:rPr>
          <w:rFonts w:ascii="Times New Roman" w:hAnsi="Times New Roman" w:cs="Times New Roman"/>
        </w:rPr>
        <w:t xml:space="preserve"> 202</w:t>
      </w:r>
      <w:r w:rsidR="0052738A">
        <w:rPr>
          <w:rFonts w:ascii="Times New Roman" w:hAnsi="Times New Roman" w:cs="Times New Roman"/>
        </w:rPr>
        <w:t>2</w:t>
      </w:r>
      <w:r w:rsidR="00624B45" w:rsidRPr="00566FA5">
        <w:rPr>
          <w:rFonts w:ascii="Times New Roman" w:hAnsi="Times New Roman" w:cs="Times New Roman"/>
        </w:rPr>
        <w:t xml:space="preserve"> года </w:t>
      </w:r>
      <w:r w:rsidRPr="00566FA5">
        <w:rPr>
          <w:rFonts w:ascii="Times New Roman" w:hAnsi="Times New Roman" w:cs="Times New Roman"/>
        </w:rPr>
        <w:t xml:space="preserve">до </w:t>
      </w:r>
      <w:r w:rsidR="0088595B">
        <w:rPr>
          <w:rFonts w:ascii="Times New Roman" w:hAnsi="Times New Roman" w:cs="Times New Roman"/>
        </w:rPr>
        <w:t>30</w:t>
      </w:r>
      <w:r w:rsidR="00967E12" w:rsidRPr="00566FA5">
        <w:rPr>
          <w:rFonts w:ascii="Times New Roman" w:hAnsi="Times New Roman" w:cs="Times New Roman"/>
        </w:rPr>
        <w:t xml:space="preserve"> </w:t>
      </w:r>
      <w:r w:rsidR="00861DEB">
        <w:rPr>
          <w:rFonts w:ascii="Times New Roman" w:hAnsi="Times New Roman" w:cs="Times New Roman"/>
        </w:rPr>
        <w:t xml:space="preserve">сентября </w:t>
      </w:r>
      <w:r w:rsidR="0052738A">
        <w:rPr>
          <w:rFonts w:ascii="Times New Roman" w:hAnsi="Times New Roman" w:cs="Times New Roman"/>
        </w:rPr>
        <w:t xml:space="preserve"> 2022</w:t>
      </w:r>
      <w:r w:rsidR="0088595B">
        <w:rPr>
          <w:rFonts w:ascii="Times New Roman" w:hAnsi="Times New Roman" w:cs="Times New Roman"/>
        </w:rPr>
        <w:t xml:space="preserve"> года </w:t>
      </w:r>
      <w:r w:rsidR="00861DEB">
        <w:rPr>
          <w:rFonts w:ascii="Times New Roman" w:hAnsi="Times New Roman" w:cs="Times New Roman"/>
        </w:rPr>
        <w:t xml:space="preserve"> включительно.</w:t>
      </w:r>
    </w:p>
    <w:p w:rsidR="00FC61C1" w:rsidRPr="00FF67DD" w:rsidRDefault="00FC61C1" w:rsidP="00FC61C1">
      <w:pPr>
        <w:ind w:firstLine="567"/>
        <w:contextualSpacing/>
        <w:rPr>
          <w:b/>
        </w:rPr>
      </w:pPr>
      <w:r w:rsidRPr="00FF67DD">
        <w:rPr>
          <w:b/>
        </w:rPr>
        <w:t xml:space="preserve">2. Место и условия поставки: </w:t>
      </w:r>
    </w:p>
    <w:p w:rsidR="00F27051" w:rsidRPr="00967E12" w:rsidRDefault="00FC61C1" w:rsidP="00DA146F">
      <w:pPr>
        <w:tabs>
          <w:tab w:val="left" w:pos="0"/>
        </w:tabs>
        <w:suppressAutoHyphens w:val="0"/>
        <w:ind w:firstLine="567"/>
        <w:jc w:val="both"/>
      </w:pPr>
      <w:r>
        <w:t>Заправка автотранспорта заказчика автомобильным топливом</w:t>
      </w:r>
      <w:r w:rsidR="00F660C5">
        <w:t xml:space="preserve"> (далее также товар, нефтепродукты)</w:t>
      </w:r>
      <w:r>
        <w:t xml:space="preserve"> должна производиться </w:t>
      </w:r>
      <w:r w:rsidR="002C07A6">
        <w:t xml:space="preserve">с помощью топливных карт </w:t>
      </w:r>
      <w:r>
        <w:t>непосредственно через автозаправочные станции поставщика, находящиеся</w:t>
      </w:r>
      <w:r w:rsidR="00DE55EE">
        <w:t xml:space="preserve"> в г. Красноуфимск, на трассе Пермь-Екатеринбург</w:t>
      </w:r>
      <w:r>
        <w:t xml:space="preserve">. </w:t>
      </w:r>
      <w:r w:rsidR="00566FA5">
        <w:t xml:space="preserve"> </w:t>
      </w:r>
      <w:r w:rsidR="009910E8" w:rsidRPr="00961FB1">
        <w:rPr>
          <w:bCs/>
        </w:rPr>
        <w:t>Для обеспечения отпуска Товара Поставщик изготавливает, персонифицирует и предоставляет Заказчику лимитные топливные карты на безвозмездной основе.</w:t>
      </w:r>
      <w:r w:rsidR="009910E8">
        <w:rPr>
          <w:bCs/>
        </w:rPr>
        <w:t xml:space="preserve"> </w:t>
      </w:r>
      <w:r w:rsidRPr="003F4461">
        <w:rPr>
          <w:lang w:eastAsia="ru-RU"/>
        </w:rPr>
        <w:t xml:space="preserve">Заправка автотранспорта </w:t>
      </w:r>
      <w:r>
        <w:rPr>
          <w:lang w:eastAsia="ru-RU"/>
        </w:rPr>
        <w:t>з</w:t>
      </w:r>
      <w:r w:rsidRPr="003F4461">
        <w:rPr>
          <w:lang w:eastAsia="ru-RU"/>
        </w:rPr>
        <w:t>аказчика автомобильным топливом производится с и</w:t>
      </w:r>
      <w:r>
        <w:rPr>
          <w:lang w:eastAsia="ru-RU"/>
        </w:rPr>
        <w:t>спользованием электронных карт</w:t>
      </w:r>
      <w:r w:rsidR="009910E8">
        <w:rPr>
          <w:lang w:eastAsia="ru-RU"/>
        </w:rPr>
        <w:t xml:space="preserve"> на условиях </w:t>
      </w:r>
      <w:r w:rsidR="009910E8" w:rsidRPr="00961FB1">
        <w:rPr>
          <w:bCs/>
        </w:rPr>
        <w:t>отпуска отдельными партиями</w:t>
      </w:r>
      <w:r>
        <w:rPr>
          <w:lang w:eastAsia="ru-RU"/>
        </w:rPr>
        <w:t xml:space="preserve">, </w:t>
      </w:r>
      <w:r w:rsidRPr="003F4461">
        <w:rPr>
          <w:lang w:eastAsia="ru-RU"/>
        </w:rPr>
        <w:t xml:space="preserve">передаваемых </w:t>
      </w:r>
      <w:r>
        <w:rPr>
          <w:lang w:eastAsia="ru-RU"/>
        </w:rPr>
        <w:t>п</w:t>
      </w:r>
      <w:r w:rsidRPr="003F4461">
        <w:rPr>
          <w:lang w:eastAsia="ru-RU"/>
        </w:rPr>
        <w:t xml:space="preserve">оставщиком в пользование </w:t>
      </w:r>
      <w:r>
        <w:rPr>
          <w:lang w:eastAsia="ru-RU"/>
        </w:rPr>
        <w:t>з</w:t>
      </w:r>
      <w:r w:rsidR="00F660C5">
        <w:rPr>
          <w:lang w:eastAsia="ru-RU"/>
        </w:rPr>
        <w:t xml:space="preserve">аказчику. </w:t>
      </w:r>
      <w:r w:rsidR="00DE55EE" w:rsidRPr="00961FB1">
        <w:rPr>
          <w:bCs/>
        </w:rPr>
        <w:t>Отпуск товара осуществляется с регистрацией заправок в заправочных ведомостях и выдачей чеков.</w:t>
      </w:r>
      <w:r w:rsidR="00566FA5">
        <w:rPr>
          <w:lang w:eastAsia="ru-RU"/>
        </w:rPr>
        <w:t xml:space="preserve"> </w:t>
      </w:r>
      <w:r w:rsidR="00DE55EE" w:rsidRPr="00961FB1">
        <w:rPr>
          <w:bCs/>
        </w:rPr>
        <w:t>Режим отпуска товара: ежедневно, круглосуточно.</w:t>
      </w:r>
      <w:r w:rsidR="00DE55EE" w:rsidRPr="00961FB1">
        <w:t xml:space="preserve"> </w:t>
      </w:r>
    </w:p>
    <w:p w:rsidR="00F27051" w:rsidRPr="00967E12" w:rsidRDefault="00FC61C1" w:rsidP="00967E12">
      <w:pPr>
        <w:tabs>
          <w:tab w:val="left" w:pos="0"/>
        </w:tabs>
        <w:suppressAutoHyphens w:val="0"/>
        <w:ind w:firstLine="567"/>
        <w:contextualSpacing/>
        <w:jc w:val="both"/>
      </w:pPr>
      <w:r>
        <w:rPr>
          <w:b/>
          <w:bCs/>
          <w:lang w:eastAsia="ru-RU"/>
        </w:rPr>
        <w:t>3</w:t>
      </w:r>
      <w:r w:rsidR="004611C7" w:rsidRPr="003F4461">
        <w:rPr>
          <w:bCs/>
          <w:i/>
          <w:lang w:eastAsia="ru-RU"/>
        </w:rPr>
        <w:t xml:space="preserve">. </w:t>
      </w:r>
      <w:r w:rsidR="004611C7" w:rsidRPr="003F4461">
        <w:rPr>
          <w:b/>
          <w:bCs/>
          <w:lang w:eastAsia="ru-RU"/>
        </w:rPr>
        <w:t>Форма, сроки и порядок оплаты товара:</w:t>
      </w:r>
      <w:r w:rsidR="004611C7" w:rsidRPr="003F4461">
        <w:rPr>
          <w:lang w:eastAsia="ru-RU"/>
        </w:rPr>
        <w:t xml:space="preserve"> </w:t>
      </w:r>
      <w:r w:rsidR="00D0036F" w:rsidRPr="003F4461">
        <w:t xml:space="preserve">Оплата осуществляется </w:t>
      </w:r>
      <w:r>
        <w:t>з</w:t>
      </w:r>
      <w:r w:rsidR="00D0036F" w:rsidRPr="003F4461">
        <w:t xml:space="preserve">аказчиком в безналичной </w:t>
      </w:r>
      <w:r w:rsidR="002C07A6">
        <w:t xml:space="preserve">форме </w:t>
      </w:r>
      <w:r w:rsidR="00D0036F" w:rsidRPr="003F4461">
        <w:t xml:space="preserve">путем </w:t>
      </w:r>
      <w:r w:rsidR="002C07A6">
        <w:t xml:space="preserve">ежемесячного </w:t>
      </w:r>
      <w:r w:rsidR="00D0036F" w:rsidRPr="003F4461">
        <w:t xml:space="preserve">перечисления </w:t>
      </w:r>
      <w:r w:rsidR="002C07A6">
        <w:t>предоплаты</w:t>
      </w:r>
      <w:r w:rsidR="00D0036F" w:rsidRPr="003F4461">
        <w:t xml:space="preserve"> на расчетный</w:t>
      </w:r>
      <w:bookmarkStart w:id="0" w:name="_GoBack"/>
      <w:bookmarkEnd w:id="0"/>
      <w:r w:rsidR="00D0036F" w:rsidRPr="003F4461">
        <w:t xml:space="preserve"> счет </w:t>
      </w:r>
      <w:r>
        <w:t>п</w:t>
      </w:r>
      <w:r w:rsidR="00D0036F" w:rsidRPr="003F4461">
        <w:t>оставщика</w:t>
      </w:r>
      <w:r w:rsidR="002C07A6">
        <w:t xml:space="preserve">. Размер ежемесячного авансового платежа и соответствующее ему количество товара устанавливается заказчиком самостоятельно. </w:t>
      </w:r>
    </w:p>
    <w:p w:rsidR="00F27051" w:rsidRPr="00967E12" w:rsidRDefault="00BC3158" w:rsidP="00566FA5">
      <w:pPr>
        <w:tabs>
          <w:tab w:val="left" w:pos="0"/>
        </w:tabs>
        <w:suppressAutoHyphens w:val="0"/>
        <w:ind w:firstLine="567"/>
        <w:contextualSpacing/>
        <w:jc w:val="both"/>
        <w:rPr>
          <w:lang w:eastAsia="ru-RU"/>
        </w:rPr>
      </w:pPr>
      <w:r>
        <w:rPr>
          <w:b/>
          <w:lang w:eastAsia="ru-RU"/>
        </w:rPr>
        <w:t xml:space="preserve">4. </w:t>
      </w:r>
      <w:r w:rsidR="004611C7" w:rsidRPr="003F4461">
        <w:rPr>
          <w:b/>
          <w:lang w:eastAsia="ru-RU"/>
        </w:rPr>
        <w:t>Общие требования к товару:</w:t>
      </w:r>
      <w:r w:rsidR="00E04EF6" w:rsidRPr="003F4461">
        <w:rPr>
          <w:b/>
          <w:lang w:eastAsia="ru-RU"/>
        </w:rPr>
        <w:t xml:space="preserve"> </w:t>
      </w:r>
      <w:r w:rsidR="004611C7" w:rsidRPr="003F4461">
        <w:rPr>
          <w:lang w:eastAsia="ru-RU"/>
        </w:rPr>
        <w:t xml:space="preserve">Количество </w:t>
      </w:r>
      <w:r w:rsidR="00F660C5">
        <w:rPr>
          <w:lang w:eastAsia="ru-RU"/>
        </w:rPr>
        <w:t>нефтепродуктов, отпускаемых</w:t>
      </w:r>
      <w:r w:rsidR="004611C7" w:rsidRPr="003F4461">
        <w:rPr>
          <w:lang w:eastAsia="ru-RU"/>
        </w:rPr>
        <w:t xml:space="preserve"> в </w:t>
      </w:r>
      <w:r w:rsidR="00F660C5">
        <w:rPr>
          <w:lang w:eastAsia="ru-RU"/>
        </w:rPr>
        <w:t>автозаправочных станциях</w:t>
      </w:r>
      <w:r w:rsidR="004611C7" w:rsidRPr="003F4461">
        <w:rPr>
          <w:lang w:eastAsia="ru-RU"/>
        </w:rPr>
        <w:t xml:space="preserve">, определяется </w:t>
      </w:r>
      <w:r w:rsidR="00F660C5">
        <w:rPr>
          <w:lang w:eastAsia="ru-RU"/>
        </w:rPr>
        <w:t>заказчиком самостоятельно</w:t>
      </w:r>
      <w:r w:rsidR="002C07A6">
        <w:rPr>
          <w:lang w:eastAsia="ru-RU"/>
        </w:rPr>
        <w:t xml:space="preserve"> в пределах, установленных договором</w:t>
      </w:r>
      <w:r w:rsidR="00F660C5">
        <w:rPr>
          <w:lang w:eastAsia="ru-RU"/>
        </w:rPr>
        <w:t>. Количество топливных карт определяется з</w:t>
      </w:r>
      <w:r w:rsidR="004611C7" w:rsidRPr="003F4461">
        <w:rPr>
          <w:lang w:eastAsia="ru-RU"/>
        </w:rPr>
        <w:t xml:space="preserve">аказчиком </w:t>
      </w:r>
      <w:r w:rsidR="00F660C5">
        <w:rPr>
          <w:lang w:eastAsia="ru-RU"/>
        </w:rPr>
        <w:t>путем подачи заявки</w:t>
      </w:r>
      <w:r w:rsidR="004611C7" w:rsidRPr="003F4461">
        <w:rPr>
          <w:lang w:eastAsia="ru-RU"/>
        </w:rPr>
        <w:t xml:space="preserve"> с указанием суточных или месячных ограничений потребления нефтепродуктов по каждой карте.</w:t>
      </w:r>
      <w:r w:rsidR="00F660C5">
        <w:rPr>
          <w:lang w:eastAsia="ru-RU"/>
        </w:rPr>
        <w:t xml:space="preserve"> Карты должны выдаваться заказчику бесплатно.</w:t>
      </w:r>
      <w:r w:rsidR="00566FA5">
        <w:rPr>
          <w:lang w:eastAsia="ru-RU"/>
        </w:rPr>
        <w:t xml:space="preserve"> </w:t>
      </w:r>
      <w:r w:rsidR="004611C7" w:rsidRPr="003F4461">
        <w:rPr>
          <w:lang w:eastAsia="ru-RU"/>
        </w:rPr>
        <w:t xml:space="preserve">Заказчик получает </w:t>
      </w:r>
      <w:r w:rsidR="00F660C5">
        <w:rPr>
          <w:lang w:eastAsia="ru-RU"/>
        </w:rPr>
        <w:t>т</w:t>
      </w:r>
      <w:r w:rsidR="004611C7" w:rsidRPr="003F4461">
        <w:rPr>
          <w:lang w:eastAsia="ru-RU"/>
        </w:rPr>
        <w:t>овар непосредственно</w:t>
      </w:r>
      <w:r w:rsidR="00F660C5">
        <w:rPr>
          <w:lang w:eastAsia="ru-RU"/>
        </w:rPr>
        <w:t xml:space="preserve"> на автозаправочных станциях поставщика при соблюдении условий договора</w:t>
      </w:r>
      <w:r w:rsidR="004611C7" w:rsidRPr="003F4461">
        <w:rPr>
          <w:lang w:eastAsia="ru-RU"/>
        </w:rPr>
        <w:t xml:space="preserve">. Право собственности на </w:t>
      </w:r>
      <w:r w:rsidR="00F660C5">
        <w:rPr>
          <w:lang w:eastAsia="ru-RU"/>
        </w:rPr>
        <w:t xml:space="preserve">товар </w:t>
      </w:r>
      <w:r w:rsidR="004611C7" w:rsidRPr="003F4461">
        <w:rPr>
          <w:lang w:eastAsia="ru-RU"/>
        </w:rPr>
        <w:t>и риск его</w:t>
      </w:r>
      <w:r w:rsidR="00F660C5">
        <w:rPr>
          <w:lang w:eastAsia="ru-RU"/>
        </w:rPr>
        <w:t xml:space="preserve"> случайной гибели переходят от поставщика к з</w:t>
      </w:r>
      <w:r w:rsidR="004611C7" w:rsidRPr="003F4461">
        <w:rPr>
          <w:lang w:eastAsia="ru-RU"/>
        </w:rPr>
        <w:t xml:space="preserve">аказчику в момент регистрации в учетном терминале операции по передаче (отпуску) </w:t>
      </w:r>
      <w:r w:rsidR="00F660C5">
        <w:rPr>
          <w:lang w:eastAsia="ru-RU"/>
        </w:rPr>
        <w:t>т</w:t>
      </w:r>
      <w:r w:rsidR="004611C7" w:rsidRPr="003F4461">
        <w:rPr>
          <w:lang w:eastAsia="ru-RU"/>
        </w:rPr>
        <w:t xml:space="preserve">овара </w:t>
      </w:r>
      <w:r w:rsidR="00F660C5">
        <w:rPr>
          <w:lang w:eastAsia="ru-RU"/>
        </w:rPr>
        <w:t>з</w:t>
      </w:r>
      <w:r w:rsidR="004611C7" w:rsidRPr="003F4461">
        <w:rPr>
          <w:lang w:eastAsia="ru-RU"/>
        </w:rPr>
        <w:t>аказчику.</w:t>
      </w:r>
      <w:r w:rsidR="00E04EF6" w:rsidRPr="003F4461">
        <w:rPr>
          <w:lang w:eastAsia="ru-RU"/>
        </w:rPr>
        <w:t xml:space="preserve"> </w:t>
      </w:r>
    </w:p>
    <w:p w:rsidR="00240B1F" w:rsidRPr="003F4461" w:rsidRDefault="00BC3158" w:rsidP="00E04EF6">
      <w:pPr>
        <w:tabs>
          <w:tab w:val="left" w:pos="0"/>
        </w:tabs>
        <w:suppressAutoHyphens w:val="0"/>
        <w:ind w:firstLine="567"/>
        <w:contextualSpacing/>
        <w:jc w:val="both"/>
        <w:rPr>
          <w:lang w:eastAsia="ru-RU"/>
        </w:rPr>
      </w:pPr>
      <w:r>
        <w:rPr>
          <w:b/>
          <w:iCs/>
          <w:lang w:eastAsia="ru-RU"/>
        </w:rPr>
        <w:t>5</w:t>
      </w:r>
      <w:r w:rsidR="004611C7" w:rsidRPr="003F4461">
        <w:rPr>
          <w:b/>
          <w:iCs/>
          <w:lang w:eastAsia="ru-RU"/>
        </w:rPr>
        <w:t>.</w:t>
      </w:r>
      <w:r w:rsidR="004611C7" w:rsidRPr="003F4461">
        <w:rPr>
          <w:i/>
          <w:iCs/>
          <w:lang w:eastAsia="ru-RU"/>
        </w:rPr>
        <w:t xml:space="preserve"> </w:t>
      </w:r>
      <w:r w:rsidR="004611C7" w:rsidRPr="003F4461">
        <w:rPr>
          <w:b/>
          <w:iCs/>
          <w:lang w:eastAsia="ru-RU"/>
        </w:rPr>
        <w:t>Требования к качеству и безопасности товара</w:t>
      </w:r>
      <w:r w:rsidR="004611C7" w:rsidRPr="003F4461">
        <w:rPr>
          <w:b/>
          <w:bCs/>
          <w:iCs/>
          <w:lang w:eastAsia="ru-RU"/>
        </w:rPr>
        <w:t xml:space="preserve">: </w:t>
      </w:r>
      <w:r w:rsidR="00240B1F" w:rsidRPr="003F4461">
        <w:rPr>
          <w:lang w:eastAsia="ru-RU"/>
        </w:rPr>
        <w:t>Качество нефтепродуктов должно подтверждаться сертификатом соответствия (декларация о соответствии), паспортом качества производителя, либо надлежащим образом заверенными копиями таких документов.</w:t>
      </w:r>
    </w:p>
    <w:p w:rsidR="00F27051" w:rsidRPr="00967E12" w:rsidRDefault="00240B1F" w:rsidP="00967E12">
      <w:pPr>
        <w:tabs>
          <w:tab w:val="left" w:pos="0"/>
        </w:tabs>
        <w:suppressAutoHyphens w:val="0"/>
        <w:ind w:firstLine="567"/>
        <w:contextualSpacing/>
        <w:jc w:val="both"/>
        <w:rPr>
          <w:lang w:eastAsia="ru-RU"/>
        </w:rPr>
      </w:pPr>
      <w:r w:rsidRPr="003F4461">
        <w:rPr>
          <w:lang w:eastAsia="ru-RU"/>
        </w:rPr>
        <w:t>Качество нефтепродуктов должно соответствовать:</w:t>
      </w:r>
      <w:r w:rsidR="004611C7" w:rsidRPr="003F4461">
        <w:rPr>
          <w:lang w:eastAsia="ru-RU"/>
        </w:rPr>
        <w:t xml:space="preserve"> ГОСТ, ТУ;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(Постановление Правительства РФ от 27.02.2008г. № 118);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(Решение Комиссии Таможенного союза от 18.10.2011г. №826)</w:t>
      </w:r>
      <w:r w:rsidR="008003DF" w:rsidRPr="003F4461">
        <w:rPr>
          <w:lang w:eastAsia="ru-RU"/>
        </w:rPr>
        <w:t>, Правилам проведения сертификации нефтепродуктов (Постановление государственного комитета РФ по стандартизации и метрологии от 08.10.1998 г. № 78)</w:t>
      </w:r>
      <w:r w:rsidR="004611C7" w:rsidRPr="003F4461">
        <w:rPr>
          <w:lang w:eastAsia="ru-RU"/>
        </w:rPr>
        <w:t xml:space="preserve">  и другим нормативно – техническим требованиям.</w:t>
      </w:r>
    </w:p>
    <w:p w:rsidR="00F660C5" w:rsidRPr="00566FA5" w:rsidRDefault="00BC3158" w:rsidP="00566FA5">
      <w:pPr>
        <w:tabs>
          <w:tab w:val="left" w:pos="-284"/>
          <w:tab w:val="left" w:pos="142"/>
        </w:tabs>
        <w:suppressAutoHyphens w:val="0"/>
        <w:ind w:firstLine="567"/>
        <w:jc w:val="both"/>
        <w:rPr>
          <w:b/>
          <w:lang w:eastAsia="ru-RU"/>
        </w:rPr>
      </w:pPr>
      <w:r>
        <w:rPr>
          <w:b/>
          <w:lang w:eastAsia="ru-RU"/>
        </w:rPr>
        <w:t>6</w:t>
      </w:r>
      <w:r w:rsidR="00F660C5">
        <w:rPr>
          <w:b/>
          <w:lang w:eastAsia="ru-RU"/>
        </w:rPr>
        <w:t xml:space="preserve">. Характеристики автомобильного топлива </w:t>
      </w:r>
    </w:p>
    <w:tbl>
      <w:tblPr>
        <w:tblW w:w="5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842"/>
        <w:gridCol w:w="3708"/>
        <w:gridCol w:w="1851"/>
        <w:gridCol w:w="1330"/>
        <w:gridCol w:w="1775"/>
      </w:tblGrid>
      <w:tr w:rsidR="00BC3158" w:rsidRPr="003F4461" w:rsidTr="00566FA5">
        <w:trPr>
          <w:trHeight w:val="181"/>
          <w:jc w:val="center"/>
        </w:trPr>
        <w:tc>
          <w:tcPr>
            <w:tcW w:w="254" w:type="pct"/>
            <w:vAlign w:val="center"/>
          </w:tcPr>
          <w:p w:rsidR="00BC3158" w:rsidRPr="00566FA5" w:rsidRDefault="00BC3158" w:rsidP="008003DF">
            <w:pPr>
              <w:suppressAutoHyphens w:val="0"/>
              <w:autoSpaceDE w:val="0"/>
              <w:autoSpaceDN w:val="0"/>
              <w:adjustRightInd w:val="0"/>
              <w:jc w:val="center"/>
              <w:rPr>
                <w:rFonts w:eastAsia="Calibri"/>
                <w:sz w:val="18"/>
                <w:szCs w:val="18"/>
                <w:lang w:eastAsia="en-US"/>
              </w:rPr>
            </w:pPr>
            <w:r w:rsidRPr="00566FA5">
              <w:rPr>
                <w:rFonts w:eastAsia="Calibri"/>
                <w:sz w:val="18"/>
                <w:szCs w:val="18"/>
                <w:lang w:eastAsia="en-US"/>
              </w:rPr>
              <w:t>№</w:t>
            </w:r>
          </w:p>
          <w:p w:rsidR="00BC3158" w:rsidRPr="00566FA5" w:rsidRDefault="00BC3158" w:rsidP="008003DF">
            <w:pPr>
              <w:suppressAutoHyphens w:val="0"/>
              <w:autoSpaceDE w:val="0"/>
              <w:autoSpaceDN w:val="0"/>
              <w:adjustRightInd w:val="0"/>
              <w:jc w:val="center"/>
              <w:rPr>
                <w:rFonts w:eastAsia="Calibri"/>
                <w:sz w:val="18"/>
                <w:szCs w:val="18"/>
                <w:lang w:eastAsia="en-US"/>
              </w:rPr>
            </w:pPr>
            <w:r w:rsidRPr="00566FA5">
              <w:rPr>
                <w:rFonts w:eastAsia="Calibri"/>
                <w:sz w:val="18"/>
                <w:szCs w:val="18"/>
                <w:lang w:eastAsia="en-US"/>
              </w:rPr>
              <w:t>п/п</w:t>
            </w:r>
          </w:p>
        </w:tc>
        <w:tc>
          <w:tcPr>
            <w:tcW w:w="832" w:type="pct"/>
            <w:vAlign w:val="center"/>
          </w:tcPr>
          <w:p w:rsidR="00BC3158" w:rsidRPr="00566FA5" w:rsidRDefault="00BC3158" w:rsidP="008003DF">
            <w:pPr>
              <w:suppressAutoHyphens w:val="0"/>
              <w:autoSpaceDE w:val="0"/>
              <w:autoSpaceDN w:val="0"/>
              <w:adjustRightInd w:val="0"/>
              <w:jc w:val="center"/>
              <w:rPr>
                <w:rFonts w:eastAsia="Calibri"/>
                <w:sz w:val="18"/>
                <w:szCs w:val="18"/>
                <w:lang w:eastAsia="en-US"/>
              </w:rPr>
            </w:pPr>
            <w:r w:rsidRPr="00566FA5">
              <w:rPr>
                <w:rFonts w:eastAsia="Calibri"/>
                <w:sz w:val="18"/>
                <w:szCs w:val="18"/>
                <w:lang w:eastAsia="en-US"/>
              </w:rPr>
              <w:t xml:space="preserve">Наименование товара </w:t>
            </w:r>
          </w:p>
        </w:tc>
        <w:tc>
          <w:tcPr>
            <w:tcW w:w="1675" w:type="pct"/>
            <w:vAlign w:val="center"/>
          </w:tcPr>
          <w:p w:rsidR="00BC3158" w:rsidRPr="00566FA5" w:rsidRDefault="00BC3158" w:rsidP="008003DF">
            <w:pPr>
              <w:suppressAutoHyphens w:val="0"/>
              <w:autoSpaceDE w:val="0"/>
              <w:autoSpaceDN w:val="0"/>
              <w:adjustRightInd w:val="0"/>
              <w:jc w:val="center"/>
              <w:rPr>
                <w:rFonts w:eastAsia="Calibri"/>
                <w:bCs/>
                <w:sz w:val="18"/>
                <w:szCs w:val="18"/>
                <w:lang w:eastAsia="en-US"/>
              </w:rPr>
            </w:pPr>
            <w:r w:rsidRPr="00566FA5">
              <w:rPr>
                <w:rFonts w:eastAsia="Calibri"/>
                <w:bCs/>
                <w:sz w:val="18"/>
                <w:szCs w:val="18"/>
                <w:lang w:eastAsia="en-US"/>
              </w:rPr>
              <w:t>Наименование показателя</w:t>
            </w:r>
          </w:p>
        </w:tc>
        <w:tc>
          <w:tcPr>
            <w:tcW w:w="836" w:type="pct"/>
            <w:vAlign w:val="center"/>
          </w:tcPr>
          <w:p w:rsidR="00BC3158" w:rsidRPr="00566FA5" w:rsidRDefault="0044770A" w:rsidP="008003DF">
            <w:pPr>
              <w:suppressAutoHyphens w:val="0"/>
              <w:jc w:val="center"/>
              <w:rPr>
                <w:rFonts w:eastAsia="Calibri"/>
                <w:sz w:val="18"/>
                <w:szCs w:val="18"/>
                <w:lang w:eastAsia="en-US"/>
              </w:rPr>
            </w:pPr>
            <w:r w:rsidRPr="00566FA5">
              <w:rPr>
                <w:rFonts w:eastAsia="Calibri"/>
                <w:sz w:val="18"/>
                <w:szCs w:val="18"/>
                <w:lang w:eastAsia="en-US"/>
              </w:rPr>
              <w:t>Значение</w:t>
            </w:r>
            <w:r w:rsidR="00BC3158" w:rsidRPr="00566FA5">
              <w:rPr>
                <w:rFonts w:eastAsia="Calibri"/>
                <w:sz w:val="18"/>
                <w:szCs w:val="18"/>
                <w:lang w:eastAsia="en-US"/>
              </w:rPr>
              <w:t xml:space="preserve"> показателя</w:t>
            </w:r>
          </w:p>
        </w:tc>
        <w:tc>
          <w:tcPr>
            <w:tcW w:w="601" w:type="pct"/>
            <w:vAlign w:val="center"/>
          </w:tcPr>
          <w:p w:rsidR="00BC3158" w:rsidRPr="00566FA5" w:rsidRDefault="00BC3158" w:rsidP="008003DF">
            <w:pPr>
              <w:suppressAutoHyphens w:val="0"/>
              <w:spacing w:after="160" w:line="259" w:lineRule="auto"/>
              <w:jc w:val="center"/>
              <w:rPr>
                <w:rFonts w:eastAsia="Calibri"/>
                <w:sz w:val="18"/>
                <w:szCs w:val="18"/>
                <w:lang w:eastAsia="en-US"/>
              </w:rPr>
            </w:pPr>
            <w:r w:rsidRPr="00566FA5">
              <w:rPr>
                <w:rFonts w:eastAsia="Calibri"/>
                <w:sz w:val="18"/>
                <w:szCs w:val="18"/>
                <w:lang w:eastAsia="en-US"/>
              </w:rPr>
              <w:t>Единица измерения</w:t>
            </w:r>
          </w:p>
        </w:tc>
        <w:tc>
          <w:tcPr>
            <w:tcW w:w="802" w:type="pct"/>
            <w:vAlign w:val="center"/>
          </w:tcPr>
          <w:p w:rsidR="00BC3158" w:rsidRPr="00566FA5" w:rsidRDefault="00BC3158" w:rsidP="008003DF">
            <w:pPr>
              <w:suppressAutoHyphens w:val="0"/>
              <w:spacing w:after="160" w:line="259" w:lineRule="auto"/>
              <w:jc w:val="center"/>
              <w:rPr>
                <w:rFonts w:eastAsia="Calibri"/>
                <w:sz w:val="18"/>
                <w:szCs w:val="18"/>
                <w:lang w:eastAsia="en-US"/>
              </w:rPr>
            </w:pPr>
            <w:r w:rsidRPr="00566FA5">
              <w:rPr>
                <w:rFonts w:eastAsia="Calibri"/>
                <w:sz w:val="18"/>
                <w:szCs w:val="18"/>
                <w:lang w:eastAsia="en-US"/>
              </w:rPr>
              <w:t>Количество</w:t>
            </w:r>
          </w:p>
        </w:tc>
      </w:tr>
      <w:tr w:rsidR="00BC3158" w:rsidRPr="003F4461" w:rsidTr="00566FA5">
        <w:trPr>
          <w:trHeight w:val="152"/>
          <w:jc w:val="center"/>
        </w:trPr>
        <w:tc>
          <w:tcPr>
            <w:tcW w:w="254" w:type="pct"/>
            <w:vMerge w:val="restart"/>
            <w:vAlign w:val="center"/>
          </w:tcPr>
          <w:p w:rsidR="00BC3158" w:rsidRPr="00566FA5" w:rsidRDefault="00BC3158" w:rsidP="008003DF">
            <w:pPr>
              <w:suppressAutoHyphens w:val="0"/>
              <w:autoSpaceDE w:val="0"/>
              <w:autoSpaceDN w:val="0"/>
              <w:adjustRightInd w:val="0"/>
              <w:jc w:val="center"/>
              <w:rPr>
                <w:rFonts w:eastAsia="Calibri"/>
                <w:sz w:val="18"/>
                <w:szCs w:val="18"/>
                <w:lang w:val="en-US" w:eastAsia="en-US"/>
              </w:rPr>
            </w:pPr>
            <w:r w:rsidRPr="00566FA5">
              <w:rPr>
                <w:rFonts w:eastAsia="Calibri"/>
                <w:sz w:val="18"/>
                <w:szCs w:val="18"/>
                <w:lang w:val="en-US" w:eastAsia="en-US"/>
              </w:rPr>
              <w:t>1</w:t>
            </w:r>
          </w:p>
        </w:tc>
        <w:tc>
          <w:tcPr>
            <w:tcW w:w="832" w:type="pct"/>
            <w:vMerge w:val="restart"/>
            <w:vAlign w:val="center"/>
          </w:tcPr>
          <w:p w:rsidR="00BC3158" w:rsidRPr="00566FA5" w:rsidRDefault="00BC3158" w:rsidP="008003DF">
            <w:pPr>
              <w:suppressAutoHyphens w:val="0"/>
              <w:autoSpaceDE w:val="0"/>
              <w:autoSpaceDN w:val="0"/>
              <w:adjustRightInd w:val="0"/>
              <w:jc w:val="center"/>
              <w:rPr>
                <w:rFonts w:eastAsia="Calibri"/>
                <w:bCs/>
                <w:sz w:val="18"/>
                <w:szCs w:val="18"/>
                <w:lang w:val="en-US" w:eastAsia="en-US"/>
              </w:rPr>
            </w:pPr>
            <w:r w:rsidRPr="00566FA5">
              <w:rPr>
                <w:rFonts w:eastAsia="Calibri"/>
                <w:bCs/>
                <w:sz w:val="18"/>
                <w:szCs w:val="18"/>
                <w:lang w:eastAsia="en-US"/>
              </w:rPr>
              <w:t>Бензин</w:t>
            </w:r>
            <w:r w:rsidRPr="00566FA5">
              <w:rPr>
                <w:rFonts w:eastAsia="Calibri"/>
                <w:sz w:val="18"/>
                <w:szCs w:val="18"/>
                <w:lang w:eastAsia="en-US"/>
              </w:rPr>
              <w:t xml:space="preserve"> АИ–9</w:t>
            </w:r>
            <w:r w:rsidRPr="00566FA5">
              <w:rPr>
                <w:rFonts w:eastAsia="Calibri"/>
                <w:sz w:val="18"/>
                <w:szCs w:val="18"/>
                <w:lang w:val="en-US" w:eastAsia="en-US"/>
              </w:rPr>
              <w:t>2</w:t>
            </w:r>
          </w:p>
        </w:tc>
        <w:tc>
          <w:tcPr>
            <w:tcW w:w="1675" w:type="pct"/>
            <w:vAlign w:val="center"/>
          </w:tcPr>
          <w:p w:rsidR="00BC3158" w:rsidRPr="00566FA5" w:rsidRDefault="00BC3158" w:rsidP="00967E12">
            <w:pPr>
              <w:keepNext/>
              <w:widowControl w:val="0"/>
              <w:suppressAutoHyphens w:val="0"/>
              <w:spacing w:after="160" w:line="259" w:lineRule="auto"/>
              <w:contextualSpacing/>
              <w:rPr>
                <w:rFonts w:eastAsia="Calibri"/>
                <w:sz w:val="18"/>
                <w:szCs w:val="18"/>
                <w:lang w:eastAsia="en-US"/>
              </w:rPr>
            </w:pPr>
            <w:r w:rsidRPr="00566FA5">
              <w:rPr>
                <w:rFonts w:eastAsia="Calibri"/>
                <w:sz w:val="18"/>
                <w:szCs w:val="18"/>
                <w:lang w:eastAsia="en-US"/>
              </w:rPr>
              <w:t>Октановое число по исследовательскому методу</w:t>
            </w:r>
          </w:p>
        </w:tc>
        <w:tc>
          <w:tcPr>
            <w:tcW w:w="836" w:type="pct"/>
            <w:vAlign w:val="center"/>
          </w:tcPr>
          <w:p w:rsidR="00BC3158" w:rsidRPr="00566FA5" w:rsidRDefault="00BC3158" w:rsidP="00BC3158">
            <w:pPr>
              <w:keepNext/>
              <w:widowControl w:val="0"/>
              <w:suppressAutoHyphens w:val="0"/>
              <w:spacing w:after="160" w:line="259" w:lineRule="auto"/>
              <w:contextualSpacing/>
              <w:jc w:val="center"/>
              <w:rPr>
                <w:rFonts w:eastAsia="Calibri"/>
                <w:sz w:val="18"/>
                <w:szCs w:val="18"/>
                <w:lang w:eastAsia="en-US"/>
              </w:rPr>
            </w:pPr>
            <w:r w:rsidRPr="00566FA5">
              <w:rPr>
                <w:rFonts w:eastAsia="Calibri"/>
                <w:sz w:val="18"/>
                <w:szCs w:val="18"/>
                <w:lang w:eastAsia="en-US"/>
              </w:rPr>
              <w:t>≥ 92  и  &lt; 95*</w:t>
            </w:r>
          </w:p>
        </w:tc>
        <w:tc>
          <w:tcPr>
            <w:tcW w:w="601" w:type="pct"/>
            <w:vMerge w:val="restart"/>
            <w:vAlign w:val="center"/>
          </w:tcPr>
          <w:p w:rsidR="00BC3158" w:rsidRPr="00566FA5" w:rsidRDefault="00BC3158" w:rsidP="008003DF">
            <w:pPr>
              <w:suppressAutoHyphens w:val="0"/>
              <w:spacing w:after="160" w:line="259" w:lineRule="auto"/>
              <w:jc w:val="center"/>
              <w:rPr>
                <w:rFonts w:eastAsia="Calibri"/>
                <w:sz w:val="18"/>
                <w:szCs w:val="18"/>
                <w:lang w:eastAsia="en-US"/>
              </w:rPr>
            </w:pPr>
            <w:r w:rsidRPr="00566FA5">
              <w:rPr>
                <w:rFonts w:eastAsia="Calibri"/>
                <w:sz w:val="18"/>
                <w:szCs w:val="18"/>
                <w:lang w:eastAsia="en-US"/>
              </w:rPr>
              <w:t>л.</w:t>
            </w:r>
          </w:p>
        </w:tc>
        <w:tc>
          <w:tcPr>
            <w:tcW w:w="802" w:type="pct"/>
            <w:vMerge w:val="restart"/>
            <w:vAlign w:val="center"/>
          </w:tcPr>
          <w:p w:rsidR="00BC3158" w:rsidRPr="00566FA5" w:rsidRDefault="0088595B" w:rsidP="008003DF">
            <w:pPr>
              <w:suppressAutoHyphens w:val="0"/>
              <w:spacing w:after="160" w:line="259" w:lineRule="auto"/>
              <w:jc w:val="center"/>
              <w:rPr>
                <w:rFonts w:eastAsia="Calibri"/>
                <w:sz w:val="18"/>
                <w:szCs w:val="18"/>
                <w:lang w:eastAsia="en-US"/>
              </w:rPr>
            </w:pPr>
            <w:r>
              <w:rPr>
                <w:rFonts w:eastAsia="Calibri"/>
                <w:sz w:val="18"/>
                <w:szCs w:val="18"/>
                <w:lang w:eastAsia="en-US"/>
              </w:rPr>
              <w:t>10000</w:t>
            </w:r>
          </w:p>
        </w:tc>
      </w:tr>
      <w:tr w:rsidR="00BC3158" w:rsidRPr="003F4461" w:rsidTr="00566FA5">
        <w:trPr>
          <w:trHeight w:val="35"/>
          <w:jc w:val="center"/>
        </w:trPr>
        <w:tc>
          <w:tcPr>
            <w:tcW w:w="254" w:type="pct"/>
            <w:vMerge/>
            <w:vAlign w:val="center"/>
          </w:tcPr>
          <w:p w:rsidR="00BC3158" w:rsidRPr="00566FA5" w:rsidRDefault="00BC3158" w:rsidP="008003DF">
            <w:pPr>
              <w:suppressAutoHyphens w:val="0"/>
              <w:autoSpaceDE w:val="0"/>
              <w:autoSpaceDN w:val="0"/>
              <w:adjustRightInd w:val="0"/>
              <w:jc w:val="center"/>
              <w:rPr>
                <w:rFonts w:eastAsia="Calibri"/>
                <w:sz w:val="18"/>
                <w:szCs w:val="18"/>
                <w:lang w:eastAsia="en-US"/>
              </w:rPr>
            </w:pPr>
          </w:p>
        </w:tc>
        <w:tc>
          <w:tcPr>
            <w:tcW w:w="832" w:type="pct"/>
            <w:vMerge/>
            <w:vAlign w:val="center"/>
          </w:tcPr>
          <w:p w:rsidR="00BC3158" w:rsidRPr="00566FA5" w:rsidRDefault="00BC3158" w:rsidP="008003DF">
            <w:pPr>
              <w:suppressAutoHyphens w:val="0"/>
              <w:autoSpaceDE w:val="0"/>
              <w:autoSpaceDN w:val="0"/>
              <w:adjustRightInd w:val="0"/>
              <w:jc w:val="center"/>
              <w:rPr>
                <w:rFonts w:eastAsia="Calibri"/>
                <w:bCs/>
                <w:sz w:val="18"/>
                <w:szCs w:val="18"/>
                <w:lang w:eastAsia="en-US"/>
              </w:rPr>
            </w:pPr>
          </w:p>
        </w:tc>
        <w:tc>
          <w:tcPr>
            <w:tcW w:w="1675" w:type="pct"/>
            <w:vAlign w:val="center"/>
          </w:tcPr>
          <w:p w:rsidR="00BC3158" w:rsidRPr="00566FA5" w:rsidRDefault="00BC3158" w:rsidP="00967E12">
            <w:pPr>
              <w:suppressAutoHyphens w:val="0"/>
              <w:spacing w:after="160" w:line="259" w:lineRule="auto"/>
              <w:contextualSpacing/>
              <w:rPr>
                <w:rFonts w:eastAsia="Calibri"/>
                <w:sz w:val="18"/>
                <w:szCs w:val="18"/>
                <w:lang w:eastAsia="en-US"/>
              </w:rPr>
            </w:pPr>
            <w:r w:rsidRPr="00566FA5">
              <w:rPr>
                <w:rFonts w:eastAsia="Calibri"/>
                <w:sz w:val="18"/>
                <w:szCs w:val="18"/>
                <w:lang w:eastAsia="en-US"/>
              </w:rPr>
              <w:t>Экологический класс</w:t>
            </w:r>
          </w:p>
        </w:tc>
        <w:tc>
          <w:tcPr>
            <w:tcW w:w="836" w:type="pct"/>
            <w:vAlign w:val="center"/>
          </w:tcPr>
          <w:p w:rsidR="00BC3158" w:rsidRPr="00566FA5" w:rsidRDefault="00BC3158" w:rsidP="008003DF">
            <w:pPr>
              <w:suppressAutoHyphens w:val="0"/>
              <w:spacing w:after="160" w:line="259" w:lineRule="auto"/>
              <w:jc w:val="center"/>
              <w:rPr>
                <w:rFonts w:eastAsia="Calibri"/>
                <w:sz w:val="18"/>
                <w:szCs w:val="18"/>
                <w:lang w:eastAsia="en-US"/>
              </w:rPr>
            </w:pPr>
            <w:r w:rsidRPr="00566FA5">
              <w:rPr>
                <w:rFonts w:eastAsia="Calibri"/>
                <w:sz w:val="18"/>
                <w:szCs w:val="18"/>
                <w:lang w:eastAsia="en-US"/>
              </w:rPr>
              <w:t>не ниже К5</w:t>
            </w:r>
          </w:p>
        </w:tc>
        <w:tc>
          <w:tcPr>
            <w:tcW w:w="601" w:type="pct"/>
            <w:vMerge/>
            <w:vAlign w:val="center"/>
          </w:tcPr>
          <w:p w:rsidR="00BC3158" w:rsidRPr="00566FA5" w:rsidRDefault="00BC3158" w:rsidP="008003DF">
            <w:pPr>
              <w:suppressAutoHyphens w:val="0"/>
              <w:spacing w:after="160" w:line="259" w:lineRule="auto"/>
              <w:jc w:val="center"/>
              <w:rPr>
                <w:rFonts w:eastAsia="Calibri"/>
                <w:sz w:val="18"/>
                <w:szCs w:val="18"/>
                <w:lang w:eastAsia="en-US"/>
              </w:rPr>
            </w:pPr>
          </w:p>
        </w:tc>
        <w:tc>
          <w:tcPr>
            <w:tcW w:w="802" w:type="pct"/>
            <w:vMerge/>
            <w:vAlign w:val="center"/>
          </w:tcPr>
          <w:p w:rsidR="00BC3158" w:rsidRPr="00566FA5" w:rsidRDefault="00BC3158" w:rsidP="008003DF">
            <w:pPr>
              <w:suppressAutoHyphens w:val="0"/>
              <w:spacing w:after="160" w:line="259" w:lineRule="auto"/>
              <w:jc w:val="center"/>
              <w:rPr>
                <w:rFonts w:eastAsia="Calibri"/>
                <w:sz w:val="18"/>
                <w:szCs w:val="18"/>
                <w:lang w:eastAsia="en-US"/>
              </w:rPr>
            </w:pPr>
          </w:p>
        </w:tc>
      </w:tr>
      <w:tr w:rsidR="00BC3158" w:rsidRPr="003F4461" w:rsidTr="00566FA5">
        <w:trPr>
          <w:trHeight w:val="31"/>
          <w:jc w:val="center"/>
        </w:trPr>
        <w:tc>
          <w:tcPr>
            <w:tcW w:w="254" w:type="pct"/>
            <w:vMerge w:val="restart"/>
            <w:vAlign w:val="center"/>
          </w:tcPr>
          <w:p w:rsidR="00BC3158" w:rsidRPr="00566FA5" w:rsidRDefault="009910E8" w:rsidP="008003DF">
            <w:pPr>
              <w:suppressAutoHyphens w:val="0"/>
              <w:autoSpaceDE w:val="0"/>
              <w:autoSpaceDN w:val="0"/>
              <w:adjustRightInd w:val="0"/>
              <w:jc w:val="center"/>
              <w:rPr>
                <w:rFonts w:eastAsia="Calibri"/>
                <w:sz w:val="18"/>
                <w:szCs w:val="18"/>
                <w:lang w:eastAsia="en-US"/>
              </w:rPr>
            </w:pPr>
            <w:r w:rsidRPr="00566FA5">
              <w:rPr>
                <w:rFonts w:eastAsia="Calibri"/>
                <w:sz w:val="18"/>
                <w:szCs w:val="18"/>
                <w:lang w:eastAsia="en-US"/>
              </w:rPr>
              <w:t>2</w:t>
            </w:r>
          </w:p>
        </w:tc>
        <w:tc>
          <w:tcPr>
            <w:tcW w:w="832" w:type="pct"/>
            <w:vMerge w:val="restart"/>
            <w:vAlign w:val="center"/>
          </w:tcPr>
          <w:p w:rsidR="00BC3158" w:rsidRPr="00566FA5" w:rsidRDefault="00BC3158" w:rsidP="008003DF">
            <w:pPr>
              <w:suppressAutoHyphens w:val="0"/>
              <w:autoSpaceDE w:val="0"/>
              <w:autoSpaceDN w:val="0"/>
              <w:adjustRightInd w:val="0"/>
              <w:jc w:val="center"/>
              <w:rPr>
                <w:rFonts w:eastAsia="Calibri"/>
                <w:sz w:val="18"/>
                <w:szCs w:val="18"/>
                <w:lang w:eastAsia="en-US"/>
              </w:rPr>
            </w:pPr>
            <w:r w:rsidRPr="00566FA5">
              <w:rPr>
                <w:rFonts w:eastAsia="Calibri"/>
                <w:sz w:val="18"/>
                <w:szCs w:val="18"/>
                <w:lang w:eastAsia="en-US"/>
              </w:rPr>
              <w:t>Топливо дизельное (по сезону)</w:t>
            </w:r>
          </w:p>
        </w:tc>
        <w:tc>
          <w:tcPr>
            <w:tcW w:w="1675" w:type="pct"/>
            <w:tcBorders>
              <w:top w:val="single" w:sz="4" w:space="0" w:color="auto"/>
              <w:left w:val="single" w:sz="4" w:space="0" w:color="auto"/>
              <w:bottom w:val="single" w:sz="4" w:space="0" w:color="auto"/>
              <w:right w:val="single" w:sz="4" w:space="0" w:color="auto"/>
            </w:tcBorders>
            <w:vAlign w:val="center"/>
          </w:tcPr>
          <w:p w:rsidR="00BC3158" w:rsidRPr="00566FA5" w:rsidRDefault="00BC3158" w:rsidP="00BC3158">
            <w:pPr>
              <w:suppressAutoHyphens w:val="0"/>
              <w:spacing w:after="160" w:line="259" w:lineRule="auto"/>
              <w:contextualSpacing/>
              <w:jc w:val="center"/>
              <w:rPr>
                <w:rFonts w:eastAsia="Calibri"/>
                <w:sz w:val="18"/>
                <w:szCs w:val="18"/>
                <w:lang w:eastAsia="en-US"/>
              </w:rPr>
            </w:pPr>
            <w:r w:rsidRPr="00566FA5">
              <w:rPr>
                <w:rFonts w:eastAsia="Calibri"/>
                <w:sz w:val="18"/>
                <w:szCs w:val="18"/>
                <w:lang w:eastAsia="en-US"/>
              </w:rPr>
              <w:t>Тип топлива</w:t>
            </w:r>
          </w:p>
        </w:tc>
        <w:tc>
          <w:tcPr>
            <w:tcW w:w="836" w:type="pct"/>
            <w:tcBorders>
              <w:top w:val="single" w:sz="4" w:space="0" w:color="auto"/>
              <w:left w:val="single" w:sz="4" w:space="0" w:color="auto"/>
              <w:bottom w:val="single" w:sz="4" w:space="0" w:color="auto"/>
              <w:right w:val="single" w:sz="4" w:space="0" w:color="auto"/>
            </w:tcBorders>
            <w:vAlign w:val="center"/>
          </w:tcPr>
          <w:p w:rsidR="00BC3158" w:rsidRPr="00566FA5" w:rsidRDefault="00BC3158" w:rsidP="008003DF">
            <w:pPr>
              <w:suppressAutoHyphens w:val="0"/>
              <w:spacing w:after="160" w:line="259" w:lineRule="auto"/>
              <w:jc w:val="center"/>
              <w:rPr>
                <w:rFonts w:eastAsia="Calibri"/>
                <w:sz w:val="18"/>
                <w:szCs w:val="18"/>
                <w:lang w:eastAsia="en-US"/>
              </w:rPr>
            </w:pPr>
            <w:r w:rsidRPr="00566FA5">
              <w:rPr>
                <w:rFonts w:eastAsia="Calibri"/>
                <w:sz w:val="18"/>
                <w:szCs w:val="18"/>
                <w:lang w:eastAsia="en-US"/>
              </w:rPr>
              <w:t>Летнее и зимнее*</w:t>
            </w:r>
          </w:p>
        </w:tc>
        <w:tc>
          <w:tcPr>
            <w:tcW w:w="601" w:type="pct"/>
            <w:vMerge w:val="restart"/>
            <w:tcBorders>
              <w:top w:val="single" w:sz="4" w:space="0" w:color="auto"/>
              <w:left w:val="single" w:sz="4" w:space="0" w:color="auto"/>
              <w:right w:val="single" w:sz="4" w:space="0" w:color="auto"/>
            </w:tcBorders>
            <w:vAlign w:val="center"/>
          </w:tcPr>
          <w:p w:rsidR="00BC3158" w:rsidRPr="00566FA5" w:rsidRDefault="00BC3158" w:rsidP="008003DF">
            <w:pPr>
              <w:suppressAutoHyphens w:val="0"/>
              <w:spacing w:after="160" w:line="259" w:lineRule="auto"/>
              <w:jc w:val="center"/>
              <w:rPr>
                <w:rFonts w:eastAsia="Calibri"/>
                <w:sz w:val="18"/>
                <w:szCs w:val="18"/>
                <w:lang w:eastAsia="en-US"/>
              </w:rPr>
            </w:pPr>
            <w:r w:rsidRPr="00566FA5">
              <w:rPr>
                <w:rFonts w:eastAsia="Calibri"/>
                <w:sz w:val="18"/>
                <w:szCs w:val="18"/>
                <w:lang w:eastAsia="en-US"/>
              </w:rPr>
              <w:t>л.</w:t>
            </w:r>
          </w:p>
        </w:tc>
        <w:tc>
          <w:tcPr>
            <w:tcW w:w="802" w:type="pct"/>
            <w:vMerge w:val="restart"/>
            <w:tcBorders>
              <w:top w:val="single" w:sz="4" w:space="0" w:color="auto"/>
              <w:left w:val="single" w:sz="4" w:space="0" w:color="auto"/>
              <w:right w:val="single" w:sz="4" w:space="0" w:color="auto"/>
            </w:tcBorders>
            <w:vAlign w:val="center"/>
          </w:tcPr>
          <w:p w:rsidR="00BC3158" w:rsidRPr="00566FA5" w:rsidRDefault="0088595B" w:rsidP="008003DF">
            <w:pPr>
              <w:suppressAutoHyphens w:val="0"/>
              <w:spacing w:after="160" w:line="259" w:lineRule="auto"/>
              <w:jc w:val="center"/>
              <w:rPr>
                <w:rFonts w:eastAsia="Calibri"/>
                <w:sz w:val="18"/>
                <w:szCs w:val="18"/>
                <w:lang w:eastAsia="en-US"/>
              </w:rPr>
            </w:pPr>
            <w:r>
              <w:rPr>
                <w:rFonts w:eastAsia="Calibri"/>
                <w:sz w:val="18"/>
                <w:szCs w:val="18"/>
                <w:lang w:eastAsia="en-US"/>
              </w:rPr>
              <w:t>14000</w:t>
            </w:r>
          </w:p>
        </w:tc>
      </w:tr>
      <w:tr w:rsidR="00BC3158" w:rsidRPr="008003DF" w:rsidTr="00566FA5">
        <w:trPr>
          <w:trHeight w:val="149"/>
          <w:jc w:val="center"/>
        </w:trPr>
        <w:tc>
          <w:tcPr>
            <w:tcW w:w="254" w:type="pct"/>
            <w:vMerge/>
            <w:vAlign w:val="center"/>
          </w:tcPr>
          <w:p w:rsidR="00BC3158" w:rsidRPr="003F4461" w:rsidRDefault="00BC3158" w:rsidP="008003DF">
            <w:pPr>
              <w:suppressAutoHyphens w:val="0"/>
              <w:autoSpaceDE w:val="0"/>
              <w:autoSpaceDN w:val="0"/>
              <w:adjustRightInd w:val="0"/>
              <w:jc w:val="center"/>
              <w:rPr>
                <w:rFonts w:eastAsia="Calibri"/>
                <w:sz w:val="20"/>
                <w:szCs w:val="20"/>
                <w:lang w:eastAsia="en-US"/>
              </w:rPr>
            </w:pPr>
          </w:p>
        </w:tc>
        <w:tc>
          <w:tcPr>
            <w:tcW w:w="832" w:type="pct"/>
            <w:vMerge/>
            <w:vAlign w:val="center"/>
          </w:tcPr>
          <w:p w:rsidR="00BC3158" w:rsidRPr="003F4461" w:rsidRDefault="00BC3158" w:rsidP="008003DF">
            <w:pPr>
              <w:suppressAutoHyphens w:val="0"/>
              <w:autoSpaceDE w:val="0"/>
              <w:autoSpaceDN w:val="0"/>
              <w:adjustRightInd w:val="0"/>
              <w:jc w:val="center"/>
              <w:rPr>
                <w:rFonts w:eastAsia="Calibri"/>
                <w:sz w:val="20"/>
                <w:szCs w:val="20"/>
                <w:lang w:eastAsia="en-US"/>
              </w:rPr>
            </w:pPr>
          </w:p>
        </w:tc>
        <w:tc>
          <w:tcPr>
            <w:tcW w:w="1675" w:type="pct"/>
            <w:tcBorders>
              <w:top w:val="single" w:sz="4" w:space="0" w:color="auto"/>
              <w:left w:val="single" w:sz="4" w:space="0" w:color="auto"/>
              <w:bottom w:val="single" w:sz="4" w:space="0" w:color="auto"/>
              <w:right w:val="single" w:sz="4" w:space="0" w:color="auto"/>
            </w:tcBorders>
            <w:vAlign w:val="center"/>
          </w:tcPr>
          <w:p w:rsidR="00BC3158" w:rsidRPr="003F4461" w:rsidRDefault="00BC3158" w:rsidP="00BC3158">
            <w:pPr>
              <w:suppressAutoHyphens w:val="0"/>
              <w:spacing w:after="160" w:line="259" w:lineRule="auto"/>
              <w:contextualSpacing/>
              <w:jc w:val="center"/>
              <w:rPr>
                <w:rFonts w:eastAsia="Calibri"/>
                <w:sz w:val="20"/>
                <w:szCs w:val="20"/>
                <w:lang w:eastAsia="en-US"/>
              </w:rPr>
            </w:pPr>
            <w:r w:rsidRPr="003F4461">
              <w:rPr>
                <w:rFonts w:eastAsia="Calibri"/>
                <w:sz w:val="20"/>
                <w:szCs w:val="20"/>
                <w:lang w:eastAsia="en-US"/>
              </w:rPr>
              <w:t>Экологический класс</w:t>
            </w:r>
          </w:p>
        </w:tc>
        <w:tc>
          <w:tcPr>
            <w:tcW w:w="836" w:type="pct"/>
            <w:tcBorders>
              <w:top w:val="single" w:sz="4" w:space="0" w:color="auto"/>
              <w:left w:val="single" w:sz="4" w:space="0" w:color="auto"/>
              <w:bottom w:val="single" w:sz="4" w:space="0" w:color="auto"/>
              <w:right w:val="single" w:sz="4" w:space="0" w:color="auto"/>
            </w:tcBorders>
            <w:vAlign w:val="center"/>
          </w:tcPr>
          <w:p w:rsidR="00BC3158" w:rsidRPr="003F4461" w:rsidRDefault="00BC3158" w:rsidP="008003DF">
            <w:pPr>
              <w:suppressAutoHyphens w:val="0"/>
              <w:spacing w:after="160" w:line="259" w:lineRule="auto"/>
              <w:jc w:val="center"/>
              <w:rPr>
                <w:rFonts w:eastAsia="Calibri"/>
                <w:sz w:val="20"/>
                <w:szCs w:val="20"/>
                <w:lang w:eastAsia="en-US"/>
              </w:rPr>
            </w:pPr>
            <w:r w:rsidRPr="003F4461">
              <w:rPr>
                <w:rFonts w:eastAsia="Calibri"/>
                <w:sz w:val="20"/>
                <w:szCs w:val="20"/>
                <w:lang w:eastAsia="en-US"/>
              </w:rPr>
              <w:t>не ниже К5</w:t>
            </w:r>
          </w:p>
        </w:tc>
        <w:tc>
          <w:tcPr>
            <w:tcW w:w="601" w:type="pct"/>
            <w:vMerge/>
            <w:tcBorders>
              <w:left w:val="single" w:sz="4" w:space="0" w:color="auto"/>
              <w:bottom w:val="single" w:sz="4" w:space="0" w:color="auto"/>
              <w:right w:val="single" w:sz="4" w:space="0" w:color="auto"/>
            </w:tcBorders>
            <w:vAlign w:val="center"/>
          </w:tcPr>
          <w:p w:rsidR="00BC3158" w:rsidRPr="008003DF" w:rsidRDefault="00BC3158" w:rsidP="008003DF">
            <w:pPr>
              <w:suppressAutoHyphens w:val="0"/>
              <w:spacing w:after="160" w:line="259" w:lineRule="auto"/>
              <w:jc w:val="center"/>
              <w:rPr>
                <w:rFonts w:eastAsia="Calibri"/>
                <w:sz w:val="20"/>
                <w:szCs w:val="20"/>
                <w:lang w:eastAsia="en-US"/>
              </w:rPr>
            </w:pPr>
          </w:p>
        </w:tc>
        <w:tc>
          <w:tcPr>
            <w:tcW w:w="802" w:type="pct"/>
            <w:vMerge/>
            <w:tcBorders>
              <w:left w:val="single" w:sz="4" w:space="0" w:color="auto"/>
              <w:right w:val="single" w:sz="4" w:space="0" w:color="auto"/>
            </w:tcBorders>
            <w:vAlign w:val="center"/>
          </w:tcPr>
          <w:p w:rsidR="00BC3158" w:rsidRPr="008003DF" w:rsidRDefault="00BC3158" w:rsidP="008003DF">
            <w:pPr>
              <w:suppressAutoHyphens w:val="0"/>
              <w:spacing w:after="160" w:line="259" w:lineRule="auto"/>
              <w:jc w:val="center"/>
              <w:rPr>
                <w:rFonts w:eastAsia="Calibri"/>
                <w:sz w:val="20"/>
                <w:szCs w:val="20"/>
                <w:lang w:eastAsia="en-US"/>
              </w:rPr>
            </w:pPr>
          </w:p>
        </w:tc>
      </w:tr>
    </w:tbl>
    <w:p w:rsidR="00BC3158" w:rsidRDefault="00BC3158" w:rsidP="00E04EF6">
      <w:pPr>
        <w:tabs>
          <w:tab w:val="left" w:pos="1134"/>
        </w:tabs>
        <w:suppressAutoHyphens w:val="0"/>
        <w:jc w:val="both"/>
        <w:rPr>
          <w:lang w:eastAsia="ru-RU"/>
        </w:rPr>
      </w:pPr>
    </w:p>
    <w:p w:rsidR="00566FA5" w:rsidRDefault="00BC3158" w:rsidP="00566FA5">
      <w:pPr>
        <w:tabs>
          <w:tab w:val="left" w:pos="1134"/>
        </w:tabs>
        <w:suppressAutoHyphens w:val="0"/>
        <w:jc w:val="both"/>
        <w:rPr>
          <w:sz w:val="20"/>
          <w:szCs w:val="20"/>
          <w:lang w:eastAsia="ru-RU"/>
        </w:rPr>
      </w:pPr>
      <w:r w:rsidRPr="00566FA5">
        <w:rPr>
          <w:sz w:val="20"/>
          <w:szCs w:val="20"/>
          <w:lang w:eastAsia="ru-RU"/>
        </w:rPr>
        <w:t xml:space="preserve">* при заполнении заявки на участие в запросе котировок </w:t>
      </w:r>
      <w:r w:rsidR="0044770A" w:rsidRPr="00566FA5">
        <w:rPr>
          <w:sz w:val="20"/>
          <w:szCs w:val="20"/>
          <w:lang w:eastAsia="ru-RU"/>
        </w:rPr>
        <w:t xml:space="preserve">значение </w:t>
      </w:r>
      <w:r w:rsidRPr="00566FA5">
        <w:rPr>
          <w:sz w:val="20"/>
          <w:szCs w:val="20"/>
          <w:lang w:eastAsia="ru-RU"/>
        </w:rPr>
        <w:t>показател</w:t>
      </w:r>
      <w:r w:rsidR="00B51BD7" w:rsidRPr="00566FA5">
        <w:rPr>
          <w:sz w:val="20"/>
          <w:szCs w:val="20"/>
          <w:lang w:eastAsia="ru-RU"/>
        </w:rPr>
        <w:t>я</w:t>
      </w:r>
      <w:r w:rsidR="00566FA5">
        <w:rPr>
          <w:sz w:val="20"/>
          <w:szCs w:val="20"/>
          <w:lang w:eastAsia="ru-RU"/>
        </w:rPr>
        <w:t xml:space="preserve"> остается неизменным</w:t>
      </w:r>
    </w:p>
    <w:p w:rsidR="00967E12" w:rsidRPr="00566FA5" w:rsidRDefault="00967E12" w:rsidP="00566FA5">
      <w:pPr>
        <w:tabs>
          <w:tab w:val="left" w:pos="1134"/>
        </w:tabs>
        <w:suppressAutoHyphens w:val="0"/>
        <w:jc w:val="both"/>
        <w:rPr>
          <w:sz w:val="20"/>
          <w:szCs w:val="20"/>
          <w:lang w:eastAsia="ru-RU"/>
        </w:rPr>
      </w:pPr>
      <w:r>
        <w:rPr>
          <w:lang w:eastAsia="ru-RU"/>
        </w:rPr>
        <w:t>Составил :</w:t>
      </w:r>
      <w:r w:rsidR="00566FA5">
        <w:rPr>
          <w:sz w:val="20"/>
          <w:szCs w:val="20"/>
          <w:lang w:eastAsia="ru-RU"/>
        </w:rPr>
        <w:t xml:space="preserve">    </w:t>
      </w:r>
      <w:r>
        <w:rPr>
          <w:lang w:eastAsia="ru-RU"/>
        </w:rPr>
        <w:t>Главный механик     ______________________________________ Мордвинов А.Ф.</w:t>
      </w:r>
    </w:p>
    <w:sectPr w:rsidR="00967E12" w:rsidRPr="00566FA5" w:rsidSect="00566FA5">
      <w:pgSz w:w="11906" w:h="16838"/>
      <w:pgMar w:top="1134" w:right="567" w:bottom="1134" w:left="709" w:header="567" w:footer="567"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F82" w:rsidRDefault="00E65F82" w:rsidP="008C77D7">
      <w:r>
        <w:separator/>
      </w:r>
    </w:p>
  </w:endnote>
  <w:endnote w:type="continuationSeparator" w:id="0">
    <w:p w:rsidR="00E65F82" w:rsidRDefault="00E65F82" w:rsidP="008C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F82" w:rsidRDefault="00E65F82" w:rsidP="008C77D7">
      <w:r>
        <w:separator/>
      </w:r>
    </w:p>
  </w:footnote>
  <w:footnote w:type="continuationSeparator" w:id="0">
    <w:p w:rsidR="00E65F82" w:rsidRDefault="00E65F82" w:rsidP="008C7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900" w:hanging="360"/>
      </w:pPr>
      <w:rPr>
        <w:rFonts w:hint="default"/>
      </w:rPr>
    </w:lvl>
  </w:abstractNum>
  <w:abstractNum w:abstractNumId="1">
    <w:nsid w:val="00000002"/>
    <w:multiLevelType w:val="singleLevel"/>
    <w:tmpl w:val="00000002"/>
    <w:name w:val="WW8Num2"/>
    <w:lvl w:ilvl="0">
      <w:start w:val="4"/>
      <w:numFmt w:val="decimal"/>
      <w:lvlText w:val="%1."/>
      <w:lvlJc w:val="left"/>
      <w:pPr>
        <w:tabs>
          <w:tab w:val="num" w:pos="900"/>
        </w:tabs>
        <w:ind w:left="900" w:hanging="360"/>
      </w:pPr>
      <w:rPr>
        <w:rFonts w:hint="default"/>
        <w:b/>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3C1B2C"/>
    <w:multiLevelType w:val="hybridMultilevel"/>
    <w:tmpl w:val="04B4B446"/>
    <w:lvl w:ilvl="0" w:tplc="389401C4">
      <w:start w:val="3"/>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56"/>
    <w:rsid w:val="00016F4A"/>
    <w:rsid w:val="00023BBF"/>
    <w:rsid w:val="000278F3"/>
    <w:rsid w:val="000456AF"/>
    <w:rsid w:val="000B6D41"/>
    <w:rsid w:val="000D5048"/>
    <w:rsid w:val="000D59F2"/>
    <w:rsid w:val="001151AD"/>
    <w:rsid w:val="0011550A"/>
    <w:rsid w:val="00122318"/>
    <w:rsid w:val="00152872"/>
    <w:rsid w:val="001579AC"/>
    <w:rsid w:val="00166377"/>
    <w:rsid w:val="001A4CBE"/>
    <w:rsid w:val="001C6B7B"/>
    <w:rsid w:val="001D0F6E"/>
    <w:rsid w:val="001D77F3"/>
    <w:rsid w:val="002162AD"/>
    <w:rsid w:val="0023612C"/>
    <w:rsid w:val="00240B1F"/>
    <w:rsid w:val="00254C16"/>
    <w:rsid w:val="0027358E"/>
    <w:rsid w:val="00277C2B"/>
    <w:rsid w:val="002821A2"/>
    <w:rsid w:val="00283F7C"/>
    <w:rsid w:val="00295D92"/>
    <w:rsid w:val="002C07A6"/>
    <w:rsid w:val="002F1D65"/>
    <w:rsid w:val="002F4A4E"/>
    <w:rsid w:val="00330441"/>
    <w:rsid w:val="003467EE"/>
    <w:rsid w:val="00346E07"/>
    <w:rsid w:val="00364E36"/>
    <w:rsid w:val="0038053B"/>
    <w:rsid w:val="00382398"/>
    <w:rsid w:val="00385534"/>
    <w:rsid w:val="00390A23"/>
    <w:rsid w:val="003A2899"/>
    <w:rsid w:val="003F4461"/>
    <w:rsid w:val="0044770A"/>
    <w:rsid w:val="00447AD1"/>
    <w:rsid w:val="00457DC4"/>
    <w:rsid w:val="004611C7"/>
    <w:rsid w:val="00485113"/>
    <w:rsid w:val="004C2586"/>
    <w:rsid w:val="004F060A"/>
    <w:rsid w:val="004F45B5"/>
    <w:rsid w:val="00513DD8"/>
    <w:rsid w:val="0052738A"/>
    <w:rsid w:val="0054100F"/>
    <w:rsid w:val="00566FA5"/>
    <w:rsid w:val="005829EA"/>
    <w:rsid w:val="00583C0E"/>
    <w:rsid w:val="005900B6"/>
    <w:rsid w:val="005C0FF8"/>
    <w:rsid w:val="005E286D"/>
    <w:rsid w:val="005F25BB"/>
    <w:rsid w:val="00600A17"/>
    <w:rsid w:val="00624B45"/>
    <w:rsid w:val="006571BB"/>
    <w:rsid w:val="00661110"/>
    <w:rsid w:val="00672FA8"/>
    <w:rsid w:val="006A3B12"/>
    <w:rsid w:val="006D1BBC"/>
    <w:rsid w:val="006F608B"/>
    <w:rsid w:val="00702DAE"/>
    <w:rsid w:val="00710F58"/>
    <w:rsid w:val="007202B9"/>
    <w:rsid w:val="00725112"/>
    <w:rsid w:val="00732123"/>
    <w:rsid w:val="007667DA"/>
    <w:rsid w:val="0078184F"/>
    <w:rsid w:val="007832C8"/>
    <w:rsid w:val="00794532"/>
    <w:rsid w:val="007B0A4F"/>
    <w:rsid w:val="007C37E6"/>
    <w:rsid w:val="007C6E1B"/>
    <w:rsid w:val="007D7E17"/>
    <w:rsid w:val="007E3748"/>
    <w:rsid w:val="007F1CFC"/>
    <w:rsid w:val="008003DF"/>
    <w:rsid w:val="00813856"/>
    <w:rsid w:val="00816E35"/>
    <w:rsid w:val="0083219C"/>
    <w:rsid w:val="00840F70"/>
    <w:rsid w:val="00845D84"/>
    <w:rsid w:val="00861DEB"/>
    <w:rsid w:val="00867129"/>
    <w:rsid w:val="0088595B"/>
    <w:rsid w:val="00895EC8"/>
    <w:rsid w:val="008A4B9A"/>
    <w:rsid w:val="008C77D7"/>
    <w:rsid w:val="008F608C"/>
    <w:rsid w:val="00906A73"/>
    <w:rsid w:val="0094361E"/>
    <w:rsid w:val="00967DC5"/>
    <w:rsid w:val="00967E12"/>
    <w:rsid w:val="00976E82"/>
    <w:rsid w:val="009910E8"/>
    <w:rsid w:val="0099280F"/>
    <w:rsid w:val="009B36AD"/>
    <w:rsid w:val="009D2362"/>
    <w:rsid w:val="009F4CCB"/>
    <w:rsid w:val="00A025B6"/>
    <w:rsid w:val="00A229E8"/>
    <w:rsid w:val="00A42264"/>
    <w:rsid w:val="00A42EED"/>
    <w:rsid w:val="00A45D68"/>
    <w:rsid w:val="00A5517B"/>
    <w:rsid w:val="00A8061C"/>
    <w:rsid w:val="00A903D4"/>
    <w:rsid w:val="00AB023D"/>
    <w:rsid w:val="00AB444B"/>
    <w:rsid w:val="00AB5969"/>
    <w:rsid w:val="00AD300D"/>
    <w:rsid w:val="00AE0722"/>
    <w:rsid w:val="00AE3E85"/>
    <w:rsid w:val="00AE5D1E"/>
    <w:rsid w:val="00B01C6B"/>
    <w:rsid w:val="00B04B8D"/>
    <w:rsid w:val="00B1252F"/>
    <w:rsid w:val="00B22460"/>
    <w:rsid w:val="00B23FB0"/>
    <w:rsid w:val="00B34DFF"/>
    <w:rsid w:val="00B439F7"/>
    <w:rsid w:val="00B46609"/>
    <w:rsid w:val="00B468A7"/>
    <w:rsid w:val="00B478AB"/>
    <w:rsid w:val="00B51BD7"/>
    <w:rsid w:val="00B57591"/>
    <w:rsid w:val="00B767D5"/>
    <w:rsid w:val="00B94B62"/>
    <w:rsid w:val="00BA6BF6"/>
    <w:rsid w:val="00BC3158"/>
    <w:rsid w:val="00BE52F3"/>
    <w:rsid w:val="00BE71DC"/>
    <w:rsid w:val="00BF2DBB"/>
    <w:rsid w:val="00BF7F37"/>
    <w:rsid w:val="00C04C5B"/>
    <w:rsid w:val="00C0527F"/>
    <w:rsid w:val="00C12F77"/>
    <w:rsid w:val="00C55E29"/>
    <w:rsid w:val="00C67C75"/>
    <w:rsid w:val="00C70649"/>
    <w:rsid w:val="00CA29B6"/>
    <w:rsid w:val="00CA5C44"/>
    <w:rsid w:val="00CF22EB"/>
    <w:rsid w:val="00D0036F"/>
    <w:rsid w:val="00D07A89"/>
    <w:rsid w:val="00D24E6B"/>
    <w:rsid w:val="00D67852"/>
    <w:rsid w:val="00D724DE"/>
    <w:rsid w:val="00DA146F"/>
    <w:rsid w:val="00DD42D4"/>
    <w:rsid w:val="00DE09B2"/>
    <w:rsid w:val="00DE55EE"/>
    <w:rsid w:val="00DE5980"/>
    <w:rsid w:val="00E001AC"/>
    <w:rsid w:val="00E04EF6"/>
    <w:rsid w:val="00E07092"/>
    <w:rsid w:val="00E2699F"/>
    <w:rsid w:val="00E53643"/>
    <w:rsid w:val="00E55C2A"/>
    <w:rsid w:val="00E64A93"/>
    <w:rsid w:val="00E65F82"/>
    <w:rsid w:val="00E8136F"/>
    <w:rsid w:val="00E8564B"/>
    <w:rsid w:val="00EB0256"/>
    <w:rsid w:val="00EC4E25"/>
    <w:rsid w:val="00EE426E"/>
    <w:rsid w:val="00EE5EC3"/>
    <w:rsid w:val="00EF3FF4"/>
    <w:rsid w:val="00EF4492"/>
    <w:rsid w:val="00F27051"/>
    <w:rsid w:val="00F3053E"/>
    <w:rsid w:val="00F55349"/>
    <w:rsid w:val="00F63818"/>
    <w:rsid w:val="00F660C5"/>
    <w:rsid w:val="00FC4345"/>
    <w:rsid w:val="00FC61C1"/>
    <w:rsid w:val="00FE2CF6"/>
    <w:rsid w:val="00FF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EB88401-8257-4C9C-B7C3-5BA54CDC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CA29B6"/>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qFormat/>
    <w:rsid w:val="00CA29B6"/>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CA29B6"/>
    <w:pPr>
      <w:keepNext/>
      <w:tabs>
        <w:tab w:val="num" w:pos="0"/>
      </w:tabs>
      <w:spacing w:before="240" w:after="60"/>
      <w:outlineLvl w:val="2"/>
    </w:pPr>
    <w:rPr>
      <w:rFonts w:ascii="Arial" w:hAnsi="Arial" w:cs="Arial"/>
      <w:b/>
      <w:bCs/>
      <w:sz w:val="26"/>
      <w:szCs w:val="26"/>
    </w:rPr>
  </w:style>
  <w:style w:type="paragraph" w:styleId="9">
    <w:name w:val="heading 9"/>
    <w:basedOn w:val="a"/>
    <w:next w:val="a"/>
    <w:link w:val="90"/>
    <w:qFormat/>
    <w:rsid w:val="00CA29B6"/>
    <w:pPr>
      <w:tabs>
        <w:tab w:val="num" w:pos="0"/>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a3">
    <w:name w:val="Верхний колонтитул Знак"/>
    <w:rPr>
      <w:kern w:val="1"/>
      <w:sz w:val="28"/>
      <w:szCs w:val="28"/>
      <w:lang w:val="x-none" w:eastAsia="ar-SA" w:bidi="ar-SA"/>
    </w:rPr>
  </w:style>
  <w:style w:type="character" w:customStyle="1" w:styleId="ConsNormal">
    <w:name w:val="ConsNormal Знак"/>
    <w:rPr>
      <w:rFonts w:ascii="Arial" w:hAnsi="Arial" w:cs="Arial"/>
      <w:sz w:val="22"/>
      <w:szCs w:val="22"/>
      <w:lang w:val="ru-RU" w:eastAsia="ar-SA" w:bidi="ar-SA"/>
    </w:rPr>
  </w:style>
  <w:style w:type="character" w:customStyle="1" w:styleId="12">
    <w:name w:val="Основной текст Знак1"/>
    <w:rPr>
      <w:sz w:val="24"/>
      <w:szCs w:val="24"/>
      <w:lang w:val="ru-RU" w:eastAsia="ar-SA" w:bidi="ar-SA"/>
    </w:rPr>
  </w:style>
  <w:style w:type="character" w:customStyle="1" w:styleId="13">
    <w:name w:val="Основной текст с отступом Знак1"/>
    <w:rPr>
      <w:sz w:val="24"/>
      <w:szCs w:val="24"/>
      <w:lang w:val="ru-RU" w:eastAsia="ar-SA" w:bidi="ar-SA"/>
    </w:rPr>
  </w:style>
  <w:style w:type="character" w:customStyle="1" w:styleId="ConsPlusNormal">
    <w:name w:val="ConsPlusNormal Знак"/>
    <w:rPr>
      <w:rFonts w:ascii="Arial" w:hAnsi="Arial" w:cs="Arial"/>
      <w:lang w:val="ru-RU" w:eastAsia="ar-SA" w:bidi="ar-SA"/>
    </w:rPr>
  </w:style>
  <w:style w:type="character" w:customStyle="1" w:styleId="a4">
    <w:name w:val="Текст выноски Знак"/>
    <w:rPr>
      <w:rFonts w:ascii="Tahoma" w:hAnsi="Tahoma" w:cs="Tahoma"/>
      <w:sz w:val="16"/>
      <w:szCs w:val="16"/>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styleId="a8">
    <w:name w:val="header"/>
    <w:basedOn w:val="a"/>
    <w:pPr>
      <w:tabs>
        <w:tab w:val="center" w:pos="4677"/>
        <w:tab w:val="right" w:pos="9355"/>
      </w:tabs>
    </w:pPr>
    <w:rPr>
      <w:kern w:val="1"/>
      <w:sz w:val="28"/>
      <w:szCs w:val="28"/>
      <w:lang w:val="x-none"/>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ConsNormal0">
    <w:name w:val="ConsNormal"/>
    <w:pPr>
      <w:widowControl w:val="0"/>
      <w:suppressAutoHyphens/>
      <w:autoSpaceDE w:val="0"/>
      <w:ind w:firstLine="720"/>
    </w:pPr>
    <w:rPr>
      <w:rFonts w:ascii="Arial" w:hAnsi="Arial" w:cs="Arial"/>
      <w:sz w:val="22"/>
      <w:szCs w:val="22"/>
      <w:lang w:eastAsia="ar-SA"/>
    </w:rPr>
  </w:style>
  <w:style w:type="paragraph" w:styleId="a9">
    <w:name w:val="Body Text Indent"/>
    <w:basedOn w:val="a"/>
    <w:pPr>
      <w:spacing w:after="120"/>
      <w:ind w:left="283"/>
    </w:pPr>
  </w:style>
  <w:style w:type="paragraph" w:customStyle="1" w:styleId="31">
    <w:name w:val="Основной текст 31"/>
    <w:basedOn w:val="a"/>
    <w:pPr>
      <w:spacing w:after="120"/>
    </w:pPr>
    <w:rPr>
      <w:sz w:val="16"/>
      <w:szCs w:val="16"/>
    </w:rPr>
  </w:style>
  <w:style w:type="paragraph" w:customStyle="1" w:styleId="21">
    <w:name w:val="Основной текст 21"/>
    <w:basedOn w:val="a"/>
    <w:pPr>
      <w:spacing w:after="120" w:line="480" w:lineRule="auto"/>
    </w:pPr>
  </w:style>
  <w:style w:type="paragraph" w:customStyle="1" w:styleId="aa">
    <w:name w:val="Пункт"/>
    <w:basedOn w:val="a"/>
    <w:pPr>
      <w:tabs>
        <w:tab w:val="left" w:pos="1620"/>
      </w:tabs>
      <w:ind w:left="1044" w:hanging="504"/>
      <w:jc w:val="both"/>
    </w:pPr>
    <w:rPr>
      <w:szCs w:val="28"/>
    </w:rPr>
  </w:style>
  <w:style w:type="paragraph" w:styleId="ab">
    <w:name w:val="Balloon Text"/>
    <w:basedOn w:val="a"/>
    <w:rPr>
      <w:rFonts w:ascii="Tahoma" w:hAnsi="Tahoma" w:cs="Tahoma"/>
      <w:sz w:val="16"/>
      <w:szCs w:val="16"/>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styleId="ae">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
    <w:link w:val="af"/>
    <w:unhideWhenUsed/>
    <w:rsid w:val="008C77D7"/>
    <w:pPr>
      <w:suppressAutoHyphens w:val="0"/>
    </w:pPr>
    <w:rPr>
      <w:rFonts w:ascii="Calibri" w:eastAsia="Calibri" w:hAnsi="Calibri"/>
      <w:sz w:val="20"/>
      <w:szCs w:val="20"/>
      <w:lang w:eastAsia="en-US"/>
    </w:rPr>
  </w:style>
  <w:style w:type="character" w:customStyle="1" w:styleId="af">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link w:val="ae"/>
    <w:rsid w:val="008C77D7"/>
    <w:rPr>
      <w:rFonts w:ascii="Calibri" w:eastAsia="Calibri" w:hAnsi="Calibri"/>
      <w:lang w:eastAsia="en-US"/>
    </w:rPr>
  </w:style>
  <w:style w:type="character" w:styleId="af0">
    <w:name w:val="footnote reference"/>
    <w:unhideWhenUsed/>
    <w:rsid w:val="008C77D7"/>
    <w:rPr>
      <w:vertAlign w:val="superscript"/>
    </w:rPr>
  </w:style>
  <w:style w:type="character" w:customStyle="1" w:styleId="10">
    <w:name w:val="Заголовок 1 Знак"/>
    <w:link w:val="1"/>
    <w:uiPriority w:val="9"/>
    <w:rsid w:val="00CA29B6"/>
    <w:rPr>
      <w:rFonts w:ascii="Arial" w:hAnsi="Arial" w:cs="Arial"/>
      <w:b/>
      <w:bCs/>
      <w:kern w:val="1"/>
      <w:sz w:val="32"/>
      <w:szCs w:val="32"/>
      <w:lang w:eastAsia="ar-SA"/>
    </w:rPr>
  </w:style>
  <w:style w:type="character" w:customStyle="1" w:styleId="20">
    <w:name w:val="Заголовок 2 Знак"/>
    <w:link w:val="2"/>
    <w:rsid w:val="00CA29B6"/>
    <w:rPr>
      <w:rFonts w:ascii="Arial" w:hAnsi="Arial" w:cs="Arial"/>
      <w:b/>
      <w:bCs/>
      <w:i/>
      <w:iCs/>
      <w:sz w:val="28"/>
      <w:szCs w:val="28"/>
      <w:lang w:eastAsia="ar-SA"/>
    </w:rPr>
  </w:style>
  <w:style w:type="character" w:customStyle="1" w:styleId="30">
    <w:name w:val="Заголовок 3 Знак"/>
    <w:link w:val="3"/>
    <w:rsid w:val="00CA29B6"/>
    <w:rPr>
      <w:rFonts w:ascii="Arial" w:hAnsi="Arial" w:cs="Arial"/>
      <w:b/>
      <w:bCs/>
      <w:sz w:val="26"/>
      <w:szCs w:val="26"/>
      <w:lang w:eastAsia="ar-SA"/>
    </w:rPr>
  </w:style>
  <w:style w:type="character" w:customStyle="1" w:styleId="90">
    <w:name w:val="Заголовок 9 Знак"/>
    <w:link w:val="9"/>
    <w:rsid w:val="00CA29B6"/>
    <w:rPr>
      <w:rFonts w:ascii="Arial" w:hAnsi="Arial" w:cs="Arial"/>
      <w:sz w:val="22"/>
      <w:szCs w:val="22"/>
      <w:lang w:eastAsia="ar-SA"/>
    </w:rPr>
  </w:style>
  <w:style w:type="paragraph" w:styleId="af1">
    <w:name w:val="List Paragraph"/>
    <w:basedOn w:val="a"/>
    <w:uiPriority w:val="34"/>
    <w:qFormat/>
    <w:rsid w:val="00FC61C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f2">
    <w:name w:val="footer"/>
    <w:basedOn w:val="a"/>
    <w:link w:val="af3"/>
    <w:uiPriority w:val="99"/>
    <w:unhideWhenUsed/>
    <w:rsid w:val="00566FA5"/>
    <w:pPr>
      <w:tabs>
        <w:tab w:val="center" w:pos="4677"/>
        <w:tab w:val="right" w:pos="9355"/>
      </w:tabs>
    </w:pPr>
  </w:style>
  <w:style w:type="character" w:customStyle="1" w:styleId="af3">
    <w:name w:val="Нижний колонтитул Знак"/>
    <w:basedOn w:val="a0"/>
    <w:link w:val="af2"/>
    <w:uiPriority w:val="99"/>
    <w:rsid w:val="00566FA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3667">
      <w:bodyDiv w:val="1"/>
      <w:marLeft w:val="0"/>
      <w:marRight w:val="0"/>
      <w:marTop w:val="0"/>
      <w:marBottom w:val="0"/>
      <w:divBdr>
        <w:top w:val="none" w:sz="0" w:space="0" w:color="auto"/>
        <w:left w:val="none" w:sz="0" w:space="0" w:color="auto"/>
        <w:bottom w:val="none" w:sz="0" w:space="0" w:color="auto"/>
        <w:right w:val="none" w:sz="0" w:space="0" w:color="auto"/>
      </w:divBdr>
    </w:div>
    <w:div w:id="16443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399F-641E-4699-BCEE-8C0351EE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На бланке организации                                     Департамент</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бланке организации                                     Департамент</dc:title>
  <dc:creator>Имя</dc:creator>
  <cp:lastModifiedBy>Пользователь Windows</cp:lastModifiedBy>
  <cp:revision>15</cp:revision>
  <cp:lastPrinted>2022-06-01T08:30:00Z</cp:lastPrinted>
  <dcterms:created xsi:type="dcterms:W3CDTF">2019-11-28T06:57:00Z</dcterms:created>
  <dcterms:modified xsi:type="dcterms:W3CDTF">2022-06-01T08:44:00Z</dcterms:modified>
</cp:coreProperties>
</file>