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FA70F7" w:rsidRPr="00FA70F7">
        <w:rPr>
          <w:bCs/>
          <w:sz w:val="20"/>
          <w:szCs w:val="20"/>
        </w:rPr>
        <w:t>Поставка комплектующих для компьютерной техники</w:t>
      </w:r>
      <w:r w:rsidR="00665B33" w:rsidRPr="00AB262C">
        <w:rPr>
          <w:bCs/>
          <w:sz w:val="20"/>
          <w:szCs w:val="20"/>
          <w:highlight w:val="yellow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Pr="00FA70F7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</w:t>
      </w:r>
      <w:r w:rsidRPr="00FA70F7">
        <w:rPr>
          <w:sz w:val="20"/>
          <w:szCs w:val="20"/>
          <w:shd w:val="clear" w:color="auto" w:fill="FFFFFF"/>
        </w:rPr>
        <w:t>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FA70F7">
        <w:rPr>
          <w:sz w:val="20"/>
          <w:szCs w:val="20"/>
          <w:shd w:val="clear" w:color="auto" w:fill="FFFFFF"/>
        </w:rPr>
        <w:t>1.</w:t>
      </w:r>
      <w:r w:rsidRPr="00FA70F7">
        <w:rPr>
          <w:sz w:val="20"/>
          <w:szCs w:val="20"/>
          <w:shd w:val="clear" w:color="auto" w:fill="FFFFFF"/>
          <w:lang w:val="ru-RU"/>
        </w:rPr>
        <w:t>3</w:t>
      </w:r>
      <w:r w:rsidRPr="00FA70F7">
        <w:rPr>
          <w:sz w:val="20"/>
          <w:szCs w:val="20"/>
          <w:shd w:val="clear" w:color="auto" w:fill="FFFFFF"/>
        </w:rPr>
        <w:t>.</w:t>
      </w:r>
      <w:r w:rsidRPr="00FA70F7">
        <w:rPr>
          <w:sz w:val="20"/>
          <w:szCs w:val="20"/>
          <w:shd w:val="clear" w:color="auto" w:fill="FFFFFF"/>
          <w:lang w:val="ru-RU"/>
        </w:rPr>
        <w:t xml:space="preserve"> </w:t>
      </w:r>
      <w:r w:rsidRPr="00FA70F7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FA70F7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FA70F7">
        <w:rPr>
          <w:sz w:val="20"/>
          <w:szCs w:val="20"/>
          <w:shd w:val="clear" w:color="auto" w:fill="FFFFFF"/>
        </w:rPr>
        <w:t>Догово</w:t>
      </w:r>
      <w:r w:rsidR="008A541B" w:rsidRPr="00FA70F7">
        <w:rPr>
          <w:sz w:val="20"/>
          <w:szCs w:val="20"/>
          <w:shd w:val="clear" w:color="auto" w:fill="FFFFFF"/>
        </w:rPr>
        <w:t>р</w:t>
      </w:r>
      <w:r w:rsidR="00D54412" w:rsidRPr="00FA70F7">
        <w:rPr>
          <w:sz w:val="20"/>
          <w:szCs w:val="20"/>
          <w:shd w:val="clear" w:color="auto" w:fill="FFFFFF"/>
        </w:rPr>
        <w:t xml:space="preserve">а не </w:t>
      </w:r>
      <w:r w:rsidR="00E5031E" w:rsidRPr="00FA70F7">
        <w:rPr>
          <w:sz w:val="20"/>
          <w:szCs w:val="20"/>
          <w:shd w:val="clear" w:color="auto" w:fill="FFFFFF"/>
        </w:rPr>
        <w:t>позднее 31.12</w:t>
      </w:r>
      <w:r w:rsidR="00D54412" w:rsidRPr="00FA70F7">
        <w:rPr>
          <w:sz w:val="20"/>
          <w:szCs w:val="20"/>
          <w:shd w:val="clear" w:color="auto" w:fill="FFFFFF"/>
        </w:rPr>
        <w:t>.</w:t>
      </w:r>
      <w:r w:rsidR="00713C29" w:rsidRPr="00FA70F7">
        <w:rPr>
          <w:sz w:val="20"/>
          <w:szCs w:val="20"/>
          <w:shd w:val="clear" w:color="auto" w:fill="FFFFFF"/>
        </w:rPr>
        <w:t>2</w:t>
      </w:r>
      <w:r w:rsidR="00152DCB" w:rsidRPr="00FA70F7">
        <w:rPr>
          <w:sz w:val="20"/>
          <w:szCs w:val="20"/>
          <w:shd w:val="clear" w:color="auto" w:fill="FFFFFF"/>
        </w:rPr>
        <w:t>02</w:t>
      </w:r>
      <w:r w:rsidR="00525AB3" w:rsidRPr="00FA70F7">
        <w:rPr>
          <w:sz w:val="20"/>
          <w:szCs w:val="20"/>
          <w:shd w:val="clear" w:color="auto" w:fill="FFFFFF"/>
          <w:lang w:val="ru-RU"/>
        </w:rPr>
        <w:t>3</w:t>
      </w:r>
      <w:r w:rsidRPr="00FA70F7">
        <w:rPr>
          <w:sz w:val="20"/>
          <w:szCs w:val="20"/>
          <w:shd w:val="clear" w:color="auto" w:fill="FFFFFF"/>
        </w:rPr>
        <w:t xml:space="preserve">. </w:t>
      </w:r>
      <w:r w:rsidRPr="00FA70F7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FA70F7">
        <w:rPr>
          <w:sz w:val="20"/>
          <w:szCs w:val="20"/>
          <w:shd w:val="clear" w:color="auto" w:fill="FFFFFF"/>
          <w:lang w:val="ru-RU"/>
        </w:rPr>
        <w:t>ка на поставку</w:t>
      </w:r>
      <w:r w:rsidR="0082061D" w:rsidRPr="00D613FD">
        <w:rPr>
          <w:sz w:val="20"/>
          <w:szCs w:val="20"/>
          <w:shd w:val="clear" w:color="auto" w:fill="FFFFFF"/>
          <w:lang w:val="ru-RU"/>
        </w:rPr>
        <w:t xml:space="preserve">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FA70F7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bookmarkStart w:id="0" w:name="_GoBack"/>
      <w:bookmarkEnd w:id="0"/>
      <w:r w:rsidRPr="00FA70F7">
        <w:rPr>
          <w:sz w:val="20"/>
          <w:szCs w:val="20"/>
        </w:rPr>
        <w:t xml:space="preserve">действует до </w:t>
      </w:r>
      <w:r w:rsidR="004E27EB" w:rsidRPr="00FA70F7">
        <w:rPr>
          <w:sz w:val="20"/>
          <w:szCs w:val="20"/>
        </w:rPr>
        <w:t>31.01</w:t>
      </w:r>
      <w:r w:rsidR="00BB350A" w:rsidRPr="00FA70F7">
        <w:rPr>
          <w:sz w:val="20"/>
          <w:szCs w:val="20"/>
        </w:rPr>
        <w:t>.</w:t>
      </w:r>
      <w:r w:rsidR="004E27EB" w:rsidRPr="00FA70F7">
        <w:rPr>
          <w:sz w:val="20"/>
          <w:szCs w:val="20"/>
        </w:rPr>
        <w:t>20</w:t>
      </w:r>
      <w:r w:rsidR="00525AB3" w:rsidRPr="00FA70F7">
        <w:rPr>
          <w:sz w:val="20"/>
          <w:szCs w:val="20"/>
        </w:rPr>
        <w:t>24</w:t>
      </w:r>
      <w:r w:rsidRPr="00FA70F7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FA70F7">
        <w:rPr>
          <w:sz w:val="20"/>
          <w:szCs w:val="20"/>
          <w:shd w:val="clear" w:color="auto" w:fill="FFFFFF"/>
        </w:rPr>
        <w:t>13.2. В случае изменения у какой-либо из Сторон юридического адреса, названия</w:t>
      </w:r>
      <w:r>
        <w:rPr>
          <w:sz w:val="20"/>
          <w:szCs w:val="20"/>
          <w:shd w:val="clear" w:color="auto" w:fill="FFFFFF"/>
        </w:rPr>
        <w:t xml:space="preserve">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A70F7" w:rsidRPr="00FA70F7">
          <w:rPr>
            <w:noProof/>
            <w:sz w:val="16"/>
            <w:szCs w:val="16"/>
            <w:lang w:val="ru-RU"/>
          </w:rPr>
          <w:t>6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A70F7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3E17-4D02-44F1-BB0B-476ADF37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17</cp:revision>
  <cp:lastPrinted>2021-12-29T08:27:00Z</cp:lastPrinted>
  <dcterms:created xsi:type="dcterms:W3CDTF">2021-12-23T08:59:00Z</dcterms:created>
  <dcterms:modified xsi:type="dcterms:W3CDTF">2023-02-13T10:06:00Z</dcterms:modified>
</cp:coreProperties>
</file>