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 xml:space="preserve">___»  _________  </w:t>
      </w:r>
      <w:r w:rsidR="00525AB3">
        <w:rPr>
          <w:sz w:val="20"/>
          <w:szCs w:val="20"/>
          <w:shd w:val="clear" w:color="auto" w:fill="FFFFFF"/>
        </w:rPr>
        <w:t>2023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B4C9E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</w:t>
      </w:r>
      <w:r w:rsidR="00F53EB9">
        <w:rPr>
          <w:sz w:val="20"/>
          <w:szCs w:val="20"/>
          <w:shd w:val="clear" w:color="auto" w:fill="FFFFFF"/>
        </w:rPr>
        <w:t>о</w:t>
      </w:r>
      <w:r w:rsidR="00525AB3">
        <w:rPr>
          <w:sz w:val="20"/>
          <w:szCs w:val="20"/>
          <w:shd w:val="clear" w:color="auto" w:fill="FFFFFF"/>
        </w:rPr>
        <w:t xml:space="preserve"> на основании доверенности от 01</w:t>
      </w:r>
      <w:r w:rsidR="0003699C">
        <w:rPr>
          <w:sz w:val="20"/>
          <w:szCs w:val="20"/>
          <w:shd w:val="clear" w:color="auto" w:fill="FFFFFF"/>
        </w:rPr>
        <w:t>.0</w:t>
      </w:r>
      <w:r w:rsidR="00525AB3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FD20F1" w:rsidRPr="00FD20F1">
        <w:rPr>
          <w:bCs/>
          <w:sz w:val="20"/>
          <w:szCs w:val="20"/>
        </w:rPr>
        <w:t>Поставка электроприводо</w:t>
      </w:r>
      <w:bookmarkStart w:id="0" w:name="_GoBack"/>
      <w:bookmarkEnd w:id="0"/>
      <w:r w:rsidR="00FD20F1" w:rsidRPr="00FD20F1">
        <w:rPr>
          <w:bCs/>
          <w:sz w:val="20"/>
          <w:szCs w:val="20"/>
        </w:rPr>
        <w:t>в</w:t>
      </w:r>
      <w:r w:rsidR="00665B33" w:rsidRPr="00FD20F1">
        <w:rPr>
          <w:bCs/>
          <w:sz w:val="20"/>
          <w:szCs w:val="20"/>
        </w:rPr>
        <w:t xml:space="preserve">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525AB3">
        <w:rPr>
          <w:sz w:val="20"/>
          <w:szCs w:val="20"/>
          <w:highlight w:val="yellow"/>
        </w:rPr>
        <w:t>2023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B4C9E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B4C9E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</w:t>
      </w:r>
      <w:r w:rsidR="00152DCB" w:rsidRPr="00CC3C19">
        <w:rPr>
          <w:sz w:val="20"/>
          <w:szCs w:val="20"/>
          <w:highlight w:val="yellow"/>
          <w:shd w:val="clear" w:color="auto" w:fill="FFFFFF"/>
        </w:rPr>
        <w:t>2</w:t>
      </w:r>
      <w:r w:rsidR="00525AB3" w:rsidRPr="00CC3C19">
        <w:rPr>
          <w:sz w:val="20"/>
          <w:szCs w:val="20"/>
          <w:highlight w:val="yellow"/>
          <w:shd w:val="clear" w:color="auto" w:fill="FFFFFF"/>
          <w:lang w:val="ru-RU"/>
        </w:rPr>
        <w:t>3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B4C9E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4B4C9E">
      <w:pPr>
        <w:keepNext/>
        <w:keepLines/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>
        <w:rPr>
          <w:sz w:val="20"/>
          <w:szCs w:val="20"/>
          <w:shd w:val="clear" w:color="auto" w:fill="FFFFFF"/>
        </w:rPr>
        <w:t xml:space="preserve"> поддонов,</w:t>
      </w:r>
      <w:r>
        <w:rPr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4B4C9E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1B7E12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1B7E12">
        <w:rPr>
          <w:rFonts w:ascii="Times New Roman" w:hAnsi="Times New Roman" w:cs="Times New Roman"/>
          <w:shd w:val="clear" w:color="auto" w:fill="FFFFFF"/>
        </w:rPr>
        <w:t>4.4.</w:t>
      </w:r>
      <w:r w:rsidR="000905AA" w:rsidRPr="001B7E12">
        <w:rPr>
          <w:sz w:val="28"/>
          <w:shd w:val="clear" w:color="auto" w:fill="FFFFFF"/>
        </w:rPr>
        <w:t xml:space="preserve"> </w:t>
      </w:r>
      <w:r w:rsidR="000905AA" w:rsidRPr="001B7E12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1B7E12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1B7E12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>5.1. 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 xml:space="preserve">5.2.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Поставка Товара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, габаритные размеры которого не более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1200х800х800 мм,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осуществляется   в поддонах с учетом специфики Товара </w:t>
      </w:r>
      <w:proofErr w:type="gram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поддоны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должны иметь размер 1200х800 мм (</w:t>
      </w:r>
      <w:proofErr w:type="spell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- высота поддона с товаром не должна превышать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0,9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5 м;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весь товар на поддоне должен быть уложен этикетками наружу, не выступая за габариты поддона;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 случае поставки целыми поддонами укладка товара на поддоне, доставляемом Поставщиком, должна быть стандартной: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коробов на поддоне; одинаковое количество коробов в ряду;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рядов на поддоне;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-  при неоднородной загрузке товаров на поддоне, товар размещается слоями, при этом наиболее тяжелый товар размещается в нижних рядах;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Заказчика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каждый такой случай.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  <w:shd w:val="clear" w:color="auto" w:fill="FFFFFF"/>
        </w:rPr>
        <w:t xml:space="preserve">         </w:t>
      </w:r>
      <w:r w:rsidRPr="007D73A4">
        <w:rPr>
          <w:sz w:val="20"/>
          <w:szCs w:val="20"/>
          <w:shd w:val="clear" w:color="auto" w:fill="FFFFFF"/>
        </w:rPr>
        <w:t xml:space="preserve">5.3. </w:t>
      </w:r>
      <w:r w:rsidRPr="007D73A4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7D73A4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Договора. </w:t>
      </w:r>
      <w:r w:rsidRPr="007D73A4">
        <w:rPr>
          <w:spacing w:val="-3"/>
          <w:sz w:val="20"/>
          <w:szCs w:val="20"/>
          <w:shd w:val="clear" w:color="auto" w:fill="FFFFFF"/>
        </w:rPr>
        <w:t>Доставка Товара Заказчику должна осуществляться в рабочие дни, в рабочее время с 08:</w:t>
      </w:r>
      <w:r>
        <w:rPr>
          <w:spacing w:val="-3"/>
          <w:sz w:val="20"/>
          <w:szCs w:val="20"/>
          <w:shd w:val="clear" w:color="auto" w:fill="FFFFFF"/>
        </w:rPr>
        <w:t>00</w:t>
      </w:r>
      <w:r w:rsidRPr="007D73A4">
        <w:rPr>
          <w:spacing w:val="-3"/>
          <w:sz w:val="20"/>
          <w:szCs w:val="20"/>
          <w:shd w:val="clear" w:color="auto" w:fill="FFFFFF"/>
        </w:rPr>
        <w:t xml:space="preserve"> по 1</w:t>
      </w:r>
      <w:r>
        <w:rPr>
          <w:spacing w:val="-3"/>
          <w:sz w:val="20"/>
          <w:szCs w:val="20"/>
          <w:shd w:val="clear" w:color="auto" w:fill="FFFFFF"/>
        </w:rPr>
        <w:t>6:4</w:t>
      </w:r>
      <w:r w:rsidRPr="007D73A4">
        <w:rPr>
          <w:spacing w:val="-3"/>
          <w:sz w:val="20"/>
          <w:szCs w:val="20"/>
          <w:shd w:val="clear" w:color="auto" w:fill="FFFFFF"/>
        </w:rPr>
        <w:t xml:space="preserve">5 часов (время уфимское). 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 xml:space="preserve">         </w:t>
      </w: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lastRenderedPageBreak/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5.4.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894382" w:rsidRPr="006943AC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5.6.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11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B4C9E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B4C9E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525AB3">
        <w:rPr>
          <w:sz w:val="20"/>
          <w:szCs w:val="20"/>
          <w:highlight w:val="yellow"/>
        </w:rPr>
        <w:t>24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B4C9E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B4C9E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B4C9E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B4C9E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DE1C16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Pr="004B4C9E">
        <w:rPr>
          <w:b/>
          <w:caps/>
          <w:spacing w:val="-1"/>
          <w:sz w:val="20"/>
          <w:szCs w:val="20"/>
        </w:rPr>
        <w:t>Налоговые оговорки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>1. Контрагент гарантирует, что: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зарегистрирован в ЕГРЮЛ надлежащим образом;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15.1</w:t>
      </w:r>
      <w:r w:rsidRPr="00F8723A">
        <w:rPr>
          <w:spacing w:val="-1"/>
          <w:sz w:val="20"/>
          <w:szCs w:val="20"/>
        </w:rPr>
        <w:t xml:space="preserve"> настоящего Договора, и это повлечет: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15.2</w:t>
      </w:r>
      <w:r w:rsidRPr="00F8723A">
        <w:rPr>
          <w:spacing w:val="-1"/>
          <w:sz w:val="20"/>
          <w:szCs w:val="20"/>
        </w:rPr>
        <w:t xml:space="preserve">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73BC1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B4C9E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 xml:space="preserve">_______ </w:t>
      </w:r>
      <w:r w:rsidR="00FF6111">
        <w:rPr>
          <w:sz w:val="20"/>
          <w:szCs w:val="20"/>
          <w:shd w:val="clear" w:color="auto" w:fill="FFFFFF"/>
        </w:rPr>
        <w:t>202</w:t>
      </w:r>
      <w:r w:rsidR="00525AB3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FD20F1" w:rsidRPr="00FD20F1">
          <w:rPr>
            <w:noProof/>
            <w:sz w:val="16"/>
            <w:szCs w:val="16"/>
            <w:lang w:val="ru-RU"/>
          </w:rPr>
          <w:t>1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20F1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8E3E-725D-4DD8-80ED-5210280A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4935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Данилова Мария Александровна</cp:lastModifiedBy>
  <cp:revision>17</cp:revision>
  <cp:lastPrinted>2021-12-29T08:27:00Z</cp:lastPrinted>
  <dcterms:created xsi:type="dcterms:W3CDTF">2021-12-23T08:59:00Z</dcterms:created>
  <dcterms:modified xsi:type="dcterms:W3CDTF">2023-02-15T04:19:00Z</dcterms:modified>
</cp:coreProperties>
</file>