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Pr="00E54A1D" w:rsidRDefault="007B63F3"/>
    <w:p w:rsidR="00DB6D8C" w:rsidRPr="00E54A1D" w:rsidRDefault="00DB6D8C" w:rsidP="00DB6D8C">
      <w:pPr>
        <w:keepNext/>
        <w:spacing w:before="480" w:after="240"/>
        <w:jc w:val="center"/>
        <w:rPr>
          <w:b/>
          <w:bCs/>
        </w:rPr>
      </w:pPr>
      <w:r w:rsidRPr="00E54A1D">
        <w:rPr>
          <w:b/>
          <w:bCs/>
        </w:rPr>
        <w:t xml:space="preserve">Обоснование </w:t>
      </w:r>
      <w:r w:rsidR="00111E70" w:rsidRPr="00E54A1D">
        <w:rPr>
          <w:b/>
          <w:bCs/>
        </w:rPr>
        <w:t xml:space="preserve">НМЦ № </w:t>
      </w:r>
      <w:r w:rsidR="001C18CF" w:rsidRPr="00E54A1D">
        <w:rPr>
          <w:b/>
          <w:bCs/>
        </w:rPr>
        <w:t>№ 17.02.01.03-11</w:t>
      </w:r>
      <w:r w:rsidR="00E54A1D" w:rsidRPr="00E54A1D">
        <w:rPr>
          <w:b/>
          <w:bCs/>
        </w:rPr>
        <w:t>/65</w:t>
      </w:r>
      <w:r w:rsidR="00287E44">
        <w:rPr>
          <w:b/>
          <w:bCs/>
        </w:rPr>
        <w:t>5</w:t>
      </w:r>
      <w:r w:rsidR="00DD4E87" w:rsidRPr="00E54A1D">
        <w:rPr>
          <w:b/>
          <w:bCs/>
        </w:rPr>
        <w:t xml:space="preserve"> </w:t>
      </w:r>
      <w:r w:rsidR="009A6F46" w:rsidRPr="00E54A1D">
        <w:rPr>
          <w:b/>
          <w:bCs/>
        </w:rPr>
        <w:t xml:space="preserve">по заявке № </w:t>
      </w:r>
      <w:r w:rsidR="00E54A1D" w:rsidRPr="00E54A1D">
        <w:rPr>
          <w:b/>
          <w:bCs/>
        </w:rPr>
        <w:t>4</w:t>
      </w:r>
      <w:r w:rsidR="00287E44">
        <w:rPr>
          <w:b/>
          <w:bCs/>
        </w:rPr>
        <w:t>6</w:t>
      </w:r>
      <w:r w:rsidR="00E54A1D" w:rsidRPr="00E54A1D">
        <w:rPr>
          <w:b/>
          <w:bCs/>
        </w:rPr>
        <w:t>/УКС-23</w:t>
      </w:r>
      <w:r w:rsidR="00E51BB5" w:rsidRPr="00E54A1D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E54A1D" w:rsidRPr="00E54A1D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E54A1D" w:rsidRDefault="00287E44" w:rsidP="00111E70">
            <w:pPr>
              <w:keepNext/>
              <w:spacing w:before="40" w:after="40"/>
              <w:jc w:val="center"/>
            </w:pPr>
            <w:r w:rsidRPr="00287E44">
              <w:rPr>
                <w:b/>
              </w:rPr>
              <w:t>Разработка рабочей документации: Установка системы противодействия БПЛА (дронам) на БОС и КПДЖ»</w:t>
            </w:r>
          </w:p>
        </w:tc>
      </w:tr>
      <w:tr w:rsidR="00E54A1D" w:rsidRPr="00E54A1D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E54A1D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54A1D" w:rsidRPr="00E54A1D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E54A1D" w:rsidRDefault="00E54A1D" w:rsidP="00E54A1D">
            <w:pPr>
              <w:keepNext/>
              <w:spacing w:before="40" w:after="40"/>
              <w:jc w:val="center"/>
            </w:pPr>
            <w:r w:rsidRPr="00E54A1D">
              <w:t>23</w:t>
            </w:r>
            <w:r w:rsidR="00E51BB5" w:rsidRPr="00E54A1D">
              <w:t xml:space="preserve"> ноябр</w:t>
            </w:r>
            <w:r w:rsidR="00DB6D8C" w:rsidRPr="00E54A1D">
              <w:t>я</w:t>
            </w:r>
            <w:r w:rsidR="001F5374" w:rsidRPr="00E54A1D">
              <w:t xml:space="preserve"> 202</w:t>
            </w:r>
            <w:r w:rsidR="00A94B9C" w:rsidRPr="00E54A1D">
              <w:t>3</w:t>
            </w:r>
            <w:r w:rsidR="001F5374" w:rsidRPr="00E54A1D">
              <w:t xml:space="preserve"> г.</w:t>
            </w:r>
          </w:p>
        </w:tc>
      </w:tr>
      <w:tr w:rsidR="00E54A1D" w:rsidRPr="00E54A1D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E54A1D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54A1D" w:rsidRPr="00E54A1D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E54A1D" w:rsidRDefault="00D94C68" w:rsidP="001507C3">
            <w:pPr>
              <w:keepNext/>
              <w:spacing w:before="40" w:after="40"/>
            </w:pPr>
          </w:p>
        </w:tc>
      </w:tr>
      <w:tr w:rsidR="00E54A1D" w:rsidRPr="00E54A1D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E54A1D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E54A1D">
              <w:rPr>
                <w:b/>
                <w:bCs/>
              </w:rPr>
              <w:t>№</w:t>
            </w:r>
            <w:r w:rsidRPr="00E54A1D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E54A1D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E54A1D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E54A1D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E54A1D">
              <w:rPr>
                <w:b/>
                <w:bCs/>
              </w:rPr>
              <w:t>Значения показателей</w:t>
            </w:r>
          </w:p>
        </w:tc>
      </w:tr>
      <w:tr w:rsidR="00E54A1D" w:rsidRPr="00E54A1D" w:rsidTr="00111E70">
        <w:tc>
          <w:tcPr>
            <w:tcW w:w="936" w:type="dxa"/>
          </w:tcPr>
          <w:p w:rsidR="00D94C68" w:rsidRPr="00E54A1D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E54A1D" w:rsidRDefault="00D94C68" w:rsidP="001507C3">
            <w:pPr>
              <w:spacing w:before="40" w:after="40"/>
            </w:pPr>
            <w:r w:rsidRPr="00E54A1D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E54A1D" w:rsidRDefault="005225AC" w:rsidP="00DB6D8C">
            <w:pPr>
              <w:spacing w:before="40" w:after="40"/>
            </w:pPr>
            <w:r w:rsidRPr="00E54A1D">
              <w:t xml:space="preserve">В соответствии с утвержденным </w:t>
            </w:r>
            <w:r w:rsidR="00053182" w:rsidRPr="00E54A1D">
              <w:t xml:space="preserve">техническим </w:t>
            </w:r>
            <w:r w:rsidRPr="00E54A1D">
              <w:t xml:space="preserve">заданием </w:t>
            </w:r>
            <w:r w:rsidR="00DB6D8C" w:rsidRPr="00E54A1D">
              <w:t>.</w:t>
            </w:r>
          </w:p>
        </w:tc>
      </w:tr>
      <w:tr w:rsidR="00E54A1D" w:rsidRPr="00E54A1D" w:rsidTr="00111E70">
        <w:tc>
          <w:tcPr>
            <w:tcW w:w="936" w:type="dxa"/>
          </w:tcPr>
          <w:p w:rsidR="00D94C68" w:rsidRPr="00E54A1D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E54A1D" w:rsidRDefault="00D94C68" w:rsidP="001507C3">
            <w:pPr>
              <w:spacing w:before="40" w:after="40"/>
            </w:pPr>
            <w:r w:rsidRPr="00E54A1D">
              <w:t>Место поставки продукции</w:t>
            </w:r>
          </w:p>
        </w:tc>
        <w:tc>
          <w:tcPr>
            <w:tcW w:w="3968" w:type="dxa"/>
          </w:tcPr>
          <w:p w:rsidR="00E51BB5" w:rsidRPr="00E54A1D" w:rsidRDefault="0055553E" w:rsidP="00E54A1D">
            <w:pPr>
              <w:spacing w:before="40" w:after="40"/>
            </w:pPr>
            <w:r w:rsidRPr="00E54A1D">
              <w:rPr>
                <w:sz w:val="24"/>
                <w:szCs w:val="24"/>
                <w:lang w:eastAsia="ru-RU"/>
              </w:rPr>
              <w:t xml:space="preserve">г. Стерлитамак, ул. Техническая </w:t>
            </w:r>
            <w:r w:rsidR="00E54A1D" w:rsidRPr="00E54A1D">
              <w:rPr>
                <w:sz w:val="24"/>
                <w:szCs w:val="24"/>
                <w:lang w:eastAsia="ru-RU"/>
              </w:rPr>
              <w:t>32,                   АО «БСК»</w:t>
            </w:r>
          </w:p>
        </w:tc>
      </w:tr>
      <w:tr w:rsidR="00E54A1D" w:rsidRPr="00E54A1D" w:rsidTr="00111E70">
        <w:tc>
          <w:tcPr>
            <w:tcW w:w="936" w:type="dxa"/>
          </w:tcPr>
          <w:p w:rsidR="00D94C68" w:rsidRPr="00E54A1D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E54A1D" w:rsidRDefault="00D94C68" w:rsidP="001507C3">
            <w:pPr>
              <w:spacing w:before="40" w:after="40"/>
            </w:pPr>
            <w:r w:rsidRPr="00E54A1D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D94C68" w:rsidRPr="00E54A1D" w:rsidRDefault="00E54A1D" w:rsidP="00E51BB5">
            <w:pPr>
              <w:spacing w:before="40" w:after="40"/>
            </w:pPr>
            <w:r w:rsidRPr="00E54A1D">
              <w:t>Февраль – Июль 2024 г</w:t>
            </w:r>
          </w:p>
        </w:tc>
      </w:tr>
      <w:tr w:rsidR="00E54A1D" w:rsidRPr="00E54A1D" w:rsidTr="00111E70">
        <w:tc>
          <w:tcPr>
            <w:tcW w:w="936" w:type="dxa"/>
          </w:tcPr>
          <w:p w:rsidR="00D94C68" w:rsidRPr="00E54A1D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E54A1D" w:rsidRDefault="00D94C68" w:rsidP="001507C3">
            <w:pPr>
              <w:spacing w:before="40" w:after="40"/>
            </w:pPr>
            <w:r w:rsidRPr="00E54A1D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D94C68" w:rsidRPr="00E54A1D" w:rsidRDefault="00A837EA" w:rsidP="0026074E">
            <w:pPr>
              <w:spacing w:before="40" w:after="40"/>
            </w:pPr>
            <w:r w:rsidRPr="00E54A1D">
              <w:t xml:space="preserve">В соответствии с </w:t>
            </w:r>
            <w:r w:rsidR="0026074E" w:rsidRPr="00E54A1D">
              <w:t>документацией о закупке</w:t>
            </w:r>
          </w:p>
        </w:tc>
      </w:tr>
      <w:tr w:rsidR="00E54A1D" w:rsidRPr="00E54A1D" w:rsidTr="00111E70">
        <w:tc>
          <w:tcPr>
            <w:tcW w:w="936" w:type="dxa"/>
          </w:tcPr>
          <w:p w:rsidR="00D94C68" w:rsidRPr="00E54A1D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E54A1D" w:rsidRDefault="00D94C68" w:rsidP="001507C3">
            <w:pPr>
              <w:spacing w:before="40" w:after="40"/>
            </w:pPr>
            <w:r w:rsidRPr="00E54A1D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D94C68" w:rsidRPr="00E54A1D" w:rsidRDefault="00AA6EDF" w:rsidP="001507C3">
            <w:pPr>
              <w:spacing w:before="40" w:after="40"/>
            </w:pPr>
            <w:r w:rsidRPr="00E54A1D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E54A1D" w:rsidRPr="00E54A1D" w:rsidTr="00111E70">
        <w:tc>
          <w:tcPr>
            <w:tcW w:w="936" w:type="dxa"/>
          </w:tcPr>
          <w:p w:rsidR="007F1733" w:rsidRPr="00E54A1D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13253" w:rsidRPr="00E54A1D" w:rsidRDefault="007F1733" w:rsidP="007F1733">
            <w:pPr>
              <w:spacing w:before="40" w:after="40"/>
            </w:pPr>
            <w:r w:rsidRPr="00E54A1D">
              <w:t>Иная информация об условиях договора, существенная для расчета НМЦ</w:t>
            </w:r>
          </w:p>
          <w:p w:rsidR="00813253" w:rsidRPr="00E54A1D" w:rsidRDefault="00813253" w:rsidP="00813253"/>
          <w:p w:rsidR="00813253" w:rsidRPr="00E54A1D" w:rsidRDefault="00813253" w:rsidP="00813253"/>
          <w:p w:rsidR="00813253" w:rsidRPr="00E54A1D" w:rsidRDefault="00813253" w:rsidP="00813253"/>
          <w:p w:rsidR="00813253" w:rsidRPr="00E54A1D" w:rsidRDefault="00813253" w:rsidP="00813253"/>
          <w:p w:rsidR="00813253" w:rsidRPr="00E54A1D" w:rsidRDefault="00813253" w:rsidP="00813253"/>
          <w:p w:rsidR="00813253" w:rsidRPr="00E54A1D" w:rsidRDefault="00813253" w:rsidP="00813253"/>
          <w:p w:rsidR="007F1733" w:rsidRPr="00E54A1D" w:rsidRDefault="007F1733" w:rsidP="00813253"/>
        </w:tc>
        <w:tc>
          <w:tcPr>
            <w:tcW w:w="3968" w:type="dxa"/>
          </w:tcPr>
          <w:p w:rsidR="007F1733" w:rsidRPr="00E54A1D" w:rsidRDefault="007F1733" w:rsidP="00E54A1D">
            <w:pPr>
              <w:keepNext/>
              <w:keepLines/>
              <w:spacing w:before="0"/>
              <w:jc w:val="both"/>
            </w:pPr>
            <w:r w:rsidRPr="00E54A1D">
              <w:rPr>
                <w:rFonts w:eastAsia="Times New Roman"/>
                <w:sz w:val="24"/>
                <w:szCs w:val="28"/>
              </w:rPr>
              <w:t>Формирование  НМЦ учитывает  лимитированные и дополнительные затраты компенсируемые Заказчиком</w:t>
            </w:r>
            <w:r w:rsidRPr="00E54A1D">
              <w:rPr>
                <w:rFonts w:eastAsia="Times New Roman"/>
                <w:sz w:val="24"/>
                <w:szCs w:val="24"/>
              </w:rPr>
              <w:t>,</w:t>
            </w:r>
            <w:r w:rsidRPr="00E54A1D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E54A1D" w:rsidRPr="00E54A1D" w:rsidTr="00111E70">
        <w:tc>
          <w:tcPr>
            <w:tcW w:w="936" w:type="dxa"/>
          </w:tcPr>
          <w:p w:rsidR="007F1733" w:rsidRPr="00E54A1D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E54A1D" w:rsidRDefault="007F1733" w:rsidP="007F1733">
            <w:pPr>
              <w:spacing w:before="40" w:after="40"/>
            </w:pPr>
            <w:r w:rsidRPr="00E54A1D">
              <w:t xml:space="preserve">Рассчитанная величина НМЦ  </w:t>
            </w:r>
          </w:p>
        </w:tc>
        <w:tc>
          <w:tcPr>
            <w:tcW w:w="3968" w:type="dxa"/>
          </w:tcPr>
          <w:p w:rsidR="007F1733" w:rsidRPr="00E54A1D" w:rsidRDefault="00287E44" w:rsidP="00E54A1D">
            <w:pPr>
              <w:spacing w:after="120"/>
            </w:pPr>
            <w:r>
              <w:t xml:space="preserve">2 328 427,20 </w:t>
            </w:r>
            <w:r w:rsidR="00E54A1D" w:rsidRPr="00E54A1D">
              <w:t xml:space="preserve"> </w:t>
            </w:r>
            <w:r w:rsidR="007F1733" w:rsidRPr="00E54A1D">
              <w:t xml:space="preserve"> руб </w:t>
            </w:r>
            <w:r w:rsidR="00111E70" w:rsidRPr="00E54A1D">
              <w:t>с НДС</w:t>
            </w:r>
          </w:p>
        </w:tc>
      </w:tr>
      <w:tr w:rsidR="00E54A1D" w:rsidRPr="00E54A1D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E54A1D" w:rsidRDefault="007F1733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E54A1D" w:rsidRDefault="007F1733" w:rsidP="007F1733">
            <w:pPr>
              <w:keepNext/>
              <w:spacing w:before="40" w:after="40"/>
            </w:pPr>
            <w:r w:rsidRPr="00E54A1D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7F1733" w:rsidRPr="00E54A1D" w:rsidRDefault="00E54A1D" w:rsidP="007F1733">
            <w:pPr>
              <w:spacing w:before="40" w:after="40"/>
              <w:rPr>
                <w:sz w:val="24"/>
                <w:szCs w:val="24"/>
              </w:rPr>
            </w:pPr>
            <w:r w:rsidRPr="00E54A1D">
              <w:rPr>
                <w:sz w:val="24"/>
                <w:szCs w:val="24"/>
              </w:rPr>
              <w:t xml:space="preserve"> </w:t>
            </w:r>
            <w:r w:rsidR="00287E44" w:rsidRPr="00287E44">
              <w:rPr>
                <w:sz w:val="24"/>
                <w:szCs w:val="24"/>
              </w:rPr>
              <w:t xml:space="preserve">Смета_Система противодействия БПЛА (дронам) на БОС и КПДЖ </w:t>
            </w:r>
          </w:p>
          <w:p w:rsidR="00E54A1D" w:rsidRPr="00E54A1D" w:rsidRDefault="00E54A1D" w:rsidP="00E54A1D">
            <w:r w:rsidRPr="00E54A1D">
              <w:t xml:space="preserve">Методика определения стоимости работ по подготовке проектной документации №707 </w:t>
            </w:r>
            <w:r w:rsidRPr="00E54A1D">
              <w:lastRenderedPageBreak/>
              <w:t>от 01.10.2021г. ; Методические указания по применению справочников базовых цен на проектные работы в строительстве; Постановление правительства РФ №87 от 16.02.2008г о составе разделов проектной документации и требованиях к их содержанию.</w:t>
            </w:r>
          </w:p>
          <w:p w:rsidR="007F1733" w:rsidRPr="00E54A1D" w:rsidRDefault="007F1733" w:rsidP="008B25CC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54A1D" w:rsidRPr="00E54A1D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E54A1D" w:rsidRDefault="00111E70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E54A1D">
              <w:lastRenderedPageBreak/>
              <w:t xml:space="preserve"> </w:t>
            </w:r>
          </w:p>
          <w:p w:rsidR="00111E70" w:rsidRPr="00E54A1D" w:rsidRDefault="00111E70" w:rsidP="007F1733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E54A1D" w:rsidRDefault="007F1733" w:rsidP="008B14E8">
            <w:pPr>
              <w:keepNext/>
              <w:spacing w:before="40" w:after="40"/>
            </w:pPr>
            <w:r w:rsidRPr="00E54A1D">
              <w:t>Дополнительная информация</w:t>
            </w:r>
          </w:p>
        </w:tc>
        <w:tc>
          <w:tcPr>
            <w:tcW w:w="3968" w:type="dxa"/>
          </w:tcPr>
          <w:p w:rsidR="00CA33B8" w:rsidRPr="00E54A1D" w:rsidRDefault="00CA33B8" w:rsidP="007F1733">
            <w:pPr>
              <w:spacing w:before="40" w:after="40"/>
            </w:pPr>
          </w:p>
          <w:p w:rsidR="007F1733" w:rsidRPr="00E54A1D" w:rsidRDefault="008B14E8" w:rsidP="00287E44">
            <w:pPr>
              <w:spacing w:before="40" w:after="40"/>
            </w:pPr>
            <w:r w:rsidRPr="00E54A1D">
              <w:t>Гарантийный срок</w:t>
            </w:r>
            <w:r w:rsidR="00E54A1D" w:rsidRPr="00E54A1D">
              <w:t xml:space="preserve"> сост</w:t>
            </w:r>
            <w:r w:rsidR="00287E44">
              <w:t>а</w:t>
            </w:r>
            <w:r w:rsidR="00E54A1D" w:rsidRPr="00E54A1D">
              <w:t>вляет 3 года</w:t>
            </w:r>
          </w:p>
        </w:tc>
      </w:tr>
      <w:tr w:rsidR="007F1733" w:rsidRPr="00E54A1D" w:rsidTr="00111E70">
        <w:tc>
          <w:tcPr>
            <w:tcW w:w="936" w:type="dxa"/>
            <w:tcBorders>
              <w:top w:val="single" w:sz="4" w:space="0" w:color="auto"/>
            </w:tcBorders>
          </w:tcPr>
          <w:p w:rsidR="007F1733" w:rsidRPr="00E54A1D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E54A1D" w:rsidRDefault="007F1733" w:rsidP="007F1733">
            <w:pPr>
              <w:spacing w:before="40" w:after="40"/>
            </w:pPr>
            <w:r w:rsidRPr="00E54A1D">
              <w:t>Перечень приложений (при наличии)</w:t>
            </w:r>
          </w:p>
        </w:tc>
        <w:tc>
          <w:tcPr>
            <w:tcW w:w="3968" w:type="dxa"/>
          </w:tcPr>
          <w:p w:rsidR="007F1733" w:rsidRPr="00E54A1D" w:rsidRDefault="008B25CC" w:rsidP="008955D3">
            <w:pPr>
              <w:spacing w:before="40" w:after="40"/>
            </w:pPr>
            <w:r w:rsidRPr="00E54A1D">
              <w:t>Расчет НМЦ</w:t>
            </w:r>
            <w:r w:rsidR="008955D3">
              <w:t>, заявка на НМЦ, сметный расчет</w:t>
            </w:r>
            <w:r w:rsidRPr="00E54A1D">
              <w:t xml:space="preserve"> </w:t>
            </w:r>
          </w:p>
        </w:tc>
      </w:tr>
    </w:tbl>
    <w:p w:rsidR="00D94C68" w:rsidRPr="00E54A1D" w:rsidRDefault="00D94C68"/>
    <w:p w:rsidR="00924EE9" w:rsidRPr="00E54A1D" w:rsidRDefault="00924EE9">
      <w:bookmarkStart w:id="0" w:name="_GoBack"/>
      <w:bookmarkEnd w:id="0"/>
    </w:p>
    <w:sectPr w:rsidR="00924EE9" w:rsidRPr="00E5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DE" w:rsidRDefault="000A43DE" w:rsidP="00D94C68">
      <w:pPr>
        <w:spacing w:before="0"/>
      </w:pPr>
      <w:r>
        <w:separator/>
      </w:r>
    </w:p>
  </w:endnote>
  <w:endnote w:type="continuationSeparator" w:id="0">
    <w:p w:rsidR="000A43DE" w:rsidRDefault="000A43DE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DE" w:rsidRDefault="000A43DE" w:rsidP="00D94C68">
      <w:pPr>
        <w:spacing w:before="0"/>
      </w:pPr>
      <w:r>
        <w:separator/>
      </w:r>
    </w:p>
  </w:footnote>
  <w:footnote w:type="continuationSeparator" w:id="0">
    <w:p w:rsidR="000A43DE" w:rsidRDefault="000A43DE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16747"/>
    <w:rsid w:val="000477CF"/>
    <w:rsid w:val="00053182"/>
    <w:rsid w:val="000911CD"/>
    <w:rsid w:val="000A43DE"/>
    <w:rsid w:val="00111E70"/>
    <w:rsid w:val="001317C7"/>
    <w:rsid w:val="001837D0"/>
    <w:rsid w:val="001C18CF"/>
    <w:rsid w:val="001F5374"/>
    <w:rsid w:val="00207AA4"/>
    <w:rsid w:val="00236CFF"/>
    <w:rsid w:val="0026074E"/>
    <w:rsid w:val="00287E44"/>
    <w:rsid w:val="00324F09"/>
    <w:rsid w:val="00334F8D"/>
    <w:rsid w:val="003D5AF6"/>
    <w:rsid w:val="00404A45"/>
    <w:rsid w:val="00413A68"/>
    <w:rsid w:val="004604EF"/>
    <w:rsid w:val="004B6913"/>
    <w:rsid w:val="004C0A20"/>
    <w:rsid w:val="004E6EA0"/>
    <w:rsid w:val="004F1EDE"/>
    <w:rsid w:val="004F7524"/>
    <w:rsid w:val="005225AC"/>
    <w:rsid w:val="0055553E"/>
    <w:rsid w:val="00560C48"/>
    <w:rsid w:val="005662D9"/>
    <w:rsid w:val="005D2427"/>
    <w:rsid w:val="005D672C"/>
    <w:rsid w:val="00627E5E"/>
    <w:rsid w:val="00647E68"/>
    <w:rsid w:val="00653E3D"/>
    <w:rsid w:val="00693836"/>
    <w:rsid w:val="00695196"/>
    <w:rsid w:val="006E2957"/>
    <w:rsid w:val="00701CA8"/>
    <w:rsid w:val="00711075"/>
    <w:rsid w:val="00712E54"/>
    <w:rsid w:val="00737C3C"/>
    <w:rsid w:val="007B63F3"/>
    <w:rsid w:val="007F1733"/>
    <w:rsid w:val="00810B9B"/>
    <w:rsid w:val="00813253"/>
    <w:rsid w:val="00873C3F"/>
    <w:rsid w:val="008955D3"/>
    <w:rsid w:val="008B14E8"/>
    <w:rsid w:val="008B25CC"/>
    <w:rsid w:val="008C7AC7"/>
    <w:rsid w:val="008F5812"/>
    <w:rsid w:val="00924EE9"/>
    <w:rsid w:val="00940E80"/>
    <w:rsid w:val="00975C49"/>
    <w:rsid w:val="00992BDE"/>
    <w:rsid w:val="009978BA"/>
    <w:rsid w:val="009979FE"/>
    <w:rsid w:val="009A6F46"/>
    <w:rsid w:val="009B20E5"/>
    <w:rsid w:val="009C0604"/>
    <w:rsid w:val="009D1340"/>
    <w:rsid w:val="009F0D28"/>
    <w:rsid w:val="00A837EA"/>
    <w:rsid w:val="00A918A4"/>
    <w:rsid w:val="00A94B9C"/>
    <w:rsid w:val="00A976D9"/>
    <w:rsid w:val="00AA1503"/>
    <w:rsid w:val="00AA6EDF"/>
    <w:rsid w:val="00AD143E"/>
    <w:rsid w:val="00B06E0A"/>
    <w:rsid w:val="00B41952"/>
    <w:rsid w:val="00B5770C"/>
    <w:rsid w:val="00BC558E"/>
    <w:rsid w:val="00BE2F95"/>
    <w:rsid w:val="00C87DFE"/>
    <w:rsid w:val="00CA33B8"/>
    <w:rsid w:val="00CB745F"/>
    <w:rsid w:val="00CC163D"/>
    <w:rsid w:val="00D54FAA"/>
    <w:rsid w:val="00D94C68"/>
    <w:rsid w:val="00DB6D8C"/>
    <w:rsid w:val="00DD4E87"/>
    <w:rsid w:val="00DF7259"/>
    <w:rsid w:val="00E03DB0"/>
    <w:rsid w:val="00E2468C"/>
    <w:rsid w:val="00E363D3"/>
    <w:rsid w:val="00E42A08"/>
    <w:rsid w:val="00E51BB5"/>
    <w:rsid w:val="00E54A1D"/>
    <w:rsid w:val="00E66CA8"/>
    <w:rsid w:val="00E80B5E"/>
    <w:rsid w:val="00E843A5"/>
    <w:rsid w:val="00E86ED6"/>
    <w:rsid w:val="00F104AE"/>
    <w:rsid w:val="00F226CB"/>
    <w:rsid w:val="00FA34D8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E942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Петров Виктор Михайлович</cp:lastModifiedBy>
  <cp:revision>42</cp:revision>
  <cp:lastPrinted>2021-06-24T04:40:00Z</cp:lastPrinted>
  <dcterms:created xsi:type="dcterms:W3CDTF">2021-06-24T06:08:00Z</dcterms:created>
  <dcterms:modified xsi:type="dcterms:W3CDTF">2023-12-15T12:21:00Z</dcterms:modified>
</cp:coreProperties>
</file>