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C64173" w:rsidRDefault="00DB6D8C" w:rsidP="00DB6D8C">
      <w:pPr>
        <w:keepNext/>
        <w:spacing w:before="480" w:after="240"/>
        <w:jc w:val="center"/>
        <w:rPr>
          <w:bCs/>
          <w:color w:val="000000" w:themeColor="text1"/>
        </w:rPr>
      </w:pPr>
      <w:r w:rsidRPr="00C17269">
        <w:rPr>
          <w:b/>
          <w:bCs/>
          <w:color w:val="000000" w:themeColor="text1"/>
        </w:rPr>
        <w:t xml:space="preserve">Обоснование </w:t>
      </w:r>
      <w:r w:rsidR="00111E70" w:rsidRPr="00C17269">
        <w:rPr>
          <w:b/>
          <w:bCs/>
          <w:color w:val="000000" w:themeColor="text1"/>
        </w:rPr>
        <w:t xml:space="preserve">НМЦ </w:t>
      </w:r>
      <w:r w:rsidR="003165FC">
        <w:rPr>
          <w:b/>
          <w:bCs/>
          <w:color w:val="000000" w:themeColor="text1"/>
        </w:rPr>
        <w:t>№17.02.01.03-11/</w:t>
      </w:r>
      <w:r w:rsidR="00B60F0C">
        <w:rPr>
          <w:b/>
          <w:bCs/>
          <w:color w:val="000000" w:themeColor="text1"/>
        </w:rPr>
        <w:t xml:space="preserve">718 </w:t>
      </w:r>
      <w:r w:rsidR="00B60F0C" w:rsidRPr="00B60F0C">
        <w:rPr>
          <w:b/>
          <w:bCs/>
          <w:color w:val="000000" w:themeColor="text1"/>
        </w:rPr>
        <w:t>по заявке № 9-ОРЗиС/24 от 30.11.2023</w:t>
      </w:r>
      <w:r w:rsidR="00B60F0C">
        <w:rPr>
          <w:b/>
          <w:bCs/>
          <w:color w:val="000000" w:themeColor="text1"/>
        </w:rPr>
        <w:t>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C17269" w:rsidRPr="00C1726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3165FC" w:rsidRDefault="00B60F0C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B60F0C">
              <w:rPr>
                <w:b/>
                <w:szCs w:val="28"/>
              </w:rPr>
              <w:t xml:space="preserve">  «Ремонт кислотоупорных полов и огнезащита металлоконструкций в цехах №№ 01, 74 на АО «БСК»»</w:t>
            </w:r>
          </w:p>
        </w:tc>
      </w:tr>
      <w:tr w:rsidR="00C17269" w:rsidRPr="00C1726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C17269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17269" w:rsidRPr="00C1726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C17269" w:rsidRDefault="00463D56" w:rsidP="008529AD">
            <w:pPr>
              <w:keepNext/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 </w:t>
            </w:r>
            <w:r w:rsidR="00441EAC">
              <w:rPr>
                <w:color w:val="000000" w:themeColor="text1"/>
              </w:rPr>
              <w:t>декабря</w:t>
            </w:r>
            <w:r w:rsidR="00B276FC">
              <w:rPr>
                <w:color w:val="000000" w:themeColor="text1"/>
              </w:rPr>
              <w:t xml:space="preserve"> </w:t>
            </w:r>
            <w:r w:rsidR="001F5374" w:rsidRPr="00C17269">
              <w:rPr>
                <w:color w:val="000000" w:themeColor="text1"/>
              </w:rPr>
              <w:t>202</w:t>
            </w:r>
            <w:r w:rsidR="00C17269" w:rsidRPr="00C17269">
              <w:rPr>
                <w:color w:val="000000" w:themeColor="text1"/>
              </w:rPr>
              <w:t>3</w:t>
            </w:r>
            <w:r w:rsidR="001F5374" w:rsidRPr="00C17269">
              <w:rPr>
                <w:color w:val="000000" w:themeColor="text1"/>
              </w:rPr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111E70">
        <w:tc>
          <w:tcPr>
            <w:tcW w:w="936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8529AD" w:rsidRPr="00F05FF9" w:rsidTr="00111E70"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968" w:type="dxa"/>
          </w:tcPr>
          <w:p w:rsidR="008529AD" w:rsidRPr="0077335F" w:rsidRDefault="008529AD" w:rsidP="008529AD">
            <w:pPr>
              <w:spacing w:before="0"/>
              <w:rPr>
                <w:lang w:eastAsia="ru-RU"/>
              </w:rPr>
            </w:pPr>
            <w:r w:rsidRPr="0077335F">
              <w:rPr>
                <w:lang w:eastAsia="ru-RU"/>
              </w:rPr>
              <w:t xml:space="preserve">АО «БСК»,Г. Стерлитамак, ул. </w:t>
            </w:r>
            <w:r>
              <w:rPr>
                <w:lang w:eastAsia="ru-RU"/>
              </w:rPr>
              <w:t>Техническая</w:t>
            </w:r>
            <w:r w:rsidRPr="0077335F">
              <w:rPr>
                <w:lang w:eastAsia="ru-RU"/>
              </w:rPr>
              <w:t xml:space="preserve"> ,</w:t>
            </w:r>
            <w:r>
              <w:rPr>
                <w:lang w:eastAsia="ru-RU"/>
              </w:rPr>
              <w:t>32</w:t>
            </w:r>
          </w:p>
        </w:tc>
      </w:tr>
      <w:tr w:rsidR="008529AD" w:rsidRPr="00F05FF9" w:rsidTr="00111E70"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8529AD" w:rsidRPr="00F05FF9" w:rsidRDefault="008529AD" w:rsidP="008529AD">
            <w:pPr>
              <w:spacing w:before="40" w:after="40"/>
            </w:pPr>
            <w:r>
              <w:t>Начало выполнения работ</w:t>
            </w:r>
            <w:r w:rsidRPr="000154D0">
              <w:t xml:space="preserve"> –</w:t>
            </w:r>
            <w:r>
              <w:t xml:space="preserve"> </w:t>
            </w:r>
            <w:r w:rsidRPr="0077335F">
              <w:t xml:space="preserve">С </w:t>
            </w:r>
            <w:r>
              <w:t xml:space="preserve">мая 2024г.  </w:t>
            </w:r>
            <w:r w:rsidRPr="0077335F">
              <w:t xml:space="preserve">по </w:t>
            </w:r>
            <w:r>
              <w:t xml:space="preserve">декабрь </w:t>
            </w:r>
            <w:r w:rsidRPr="0077335F">
              <w:t>2024 г.</w:t>
            </w:r>
          </w:p>
        </w:tc>
      </w:tr>
      <w:tr w:rsidR="008529AD" w:rsidRPr="00F05FF9" w:rsidTr="00111E70"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8529AD" w:rsidRPr="00F05FF9" w:rsidRDefault="008529AD" w:rsidP="008529AD">
            <w:pPr>
              <w:spacing w:before="40" w:after="40"/>
            </w:pPr>
            <w:r w:rsidRPr="009F0D28">
              <w:t>В соответствии с документацией о закупке</w:t>
            </w:r>
          </w:p>
        </w:tc>
      </w:tr>
      <w:tr w:rsidR="008529AD" w:rsidRPr="00F05FF9" w:rsidTr="00111E70"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8529AD" w:rsidRPr="00F05FF9" w:rsidRDefault="008529AD" w:rsidP="008529AD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8529AD" w:rsidRPr="00F05FF9" w:rsidTr="007C66B9">
        <w:trPr>
          <w:trHeight w:val="2622"/>
        </w:trPr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Default="008529AD" w:rsidP="008529AD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  <w:p w:rsidR="008529AD" w:rsidRPr="00813253" w:rsidRDefault="008529AD" w:rsidP="008529AD"/>
          <w:p w:rsidR="008529AD" w:rsidRPr="00813253" w:rsidRDefault="008529AD" w:rsidP="008529AD"/>
          <w:p w:rsidR="008529AD" w:rsidRPr="00813253" w:rsidRDefault="008529AD" w:rsidP="008529AD"/>
          <w:p w:rsidR="008529AD" w:rsidRPr="00813253" w:rsidRDefault="008529AD" w:rsidP="008529AD"/>
          <w:p w:rsidR="008529AD" w:rsidRPr="00813253" w:rsidRDefault="008529AD" w:rsidP="008529AD"/>
          <w:p w:rsidR="008529AD" w:rsidRPr="00813253" w:rsidRDefault="008529AD" w:rsidP="008529AD"/>
          <w:p w:rsidR="008529AD" w:rsidRPr="00813253" w:rsidRDefault="008529AD" w:rsidP="008529AD"/>
        </w:tc>
        <w:tc>
          <w:tcPr>
            <w:tcW w:w="3968" w:type="dxa"/>
          </w:tcPr>
          <w:p w:rsidR="008529AD" w:rsidRPr="00317048" w:rsidRDefault="008529AD" w:rsidP="008529AD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>компенсируемые Заказчиком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="00B60F0C">
              <w:rPr>
                <w:rFonts w:eastAsia="Times New Roman"/>
                <w:color w:val="000000" w:themeColor="text1"/>
                <w:sz w:val="24"/>
                <w:szCs w:val="28"/>
              </w:rPr>
              <w:t>325 980,79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руб. с НДС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: </w:t>
            </w:r>
          </w:p>
          <w:p w:rsidR="008529AD" w:rsidRPr="00B60F0C" w:rsidRDefault="008529AD" w:rsidP="00B60F0C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>- Резерв средств на н</w:t>
            </w:r>
            <w:r w:rsidR="00B60F0C">
              <w:rPr>
                <w:rFonts w:eastAsia="Times New Roman"/>
                <w:color w:val="000000" w:themeColor="text1"/>
                <w:sz w:val="24"/>
                <w:szCs w:val="28"/>
              </w:rPr>
              <w:t>епредвиденные работы и затраты</w:t>
            </w:r>
            <w:r w:rsidRPr="008304A7">
              <w:rPr>
                <w:rFonts w:eastAsia="Times New Roman"/>
                <w:sz w:val="24"/>
                <w:szCs w:val="24"/>
              </w:rPr>
              <w:t>,</w:t>
            </w:r>
            <w:r w:rsidRPr="008304A7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8529AD" w:rsidRPr="00F05FF9" w:rsidTr="00111E70">
        <w:tc>
          <w:tcPr>
            <w:tcW w:w="936" w:type="dxa"/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 xml:space="preserve">Рассчитанная величина НМЦ </w:t>
            </w:r>
            <w:r>
              <w:t xml:space="preserve"> </w:t>
            </w:r>
          </w:p>
        </w:tc>
        <w:tc>
          <w:tcPr>
            <w:tcW w:w="3968" w:type="dxa"/>
          </w:tcPr>
          <w:p w:rsidR="008529AD" w:rsidRPr="00C17269" w:rsidRDefault="00B60F0C" w:rsidP="00B60F0C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11 192 007,16 </w:t>
            </w:r>
            <w:r w:rsidR="008529AD" w:rsidRPr="00C17269">
              <w:rPr>
                <w:color w:val="000000" w:themeColor="text1"/>
              </w:rPr>
              <w:t>руб</w:t>
            </w:r>
            <w:r w:rsidR="008529AD">
              <w:rPr>
                <w:color w:val="000000" w:themeColor="text1"/>
              </w:rPr>
              <w:t>.</w:t>
            </w:r>
            <w:r w:rsidR="008529AD" w:rsidRPr="00C17269">
              <w:rPr>
                <w:color w:val="000000" w:themeColor="text1"/>
              </w:rPr>
              <w:t xml:space="preserve"> с НДС</w:t>
            </w:r>
          </w:p>
        </w:tc>
      </w:tr>
      <w:tr w:rsidR="008529AD" w:rsidRPr="00F05FF9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D" w:rsidRPr="00F05FF9" w:rsidRDefault="008529AD" w:rsidP="008529AD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8529AD" w:rsidRPr="00F05FF9" w:rsidRDefault="008529AD" w:rsidP="008529AD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B60F0C" w:rsidRDefault="00B60F0C" w:rsidP="00B60F0C">
            <w:pPr>
              <w:spacing w:before="40" w:after="40"/>
              <w:rPr>
                <w:lang w:eastAsia="ru-RU"/>
              </w:rPr>
            </w:pPr>
            <w:r>
              <w:rPr>
                <w:lang w:eastAsia="ru-RU"/>
              </w:rPr>
              <w:t>№ 1-2023-71733</w:t>
            </w:r>
          </w:p>
          <w:p w:rsidR="00B60F0C" w:rsidRDefault="00B60F0C" w:rsidP="00B60F0C">
            <w:pPr>
              <w:spacing w:before="40" w:after="40"/>
              <w:rPr>
                <w:lang w:eastAsia="ru-RU"/>
              </w:rPr>
            </w:pPr>
            <w:r>
              <w:rPr>
                <w:lang w:eastAsia="ru-RU"/>
              </w:rPr>
              <w:t>№ 1-2023-71734</w:t>
            </w:r>
          </w:p>
          <w:p w:rsidR="00B60F0C" w:rsidRDefault="00B60F0C" w:rsidP="00B60F0C">
            <w:pPr>
              <w:spacing w:before="40" w:after="40"/>
              <w:rPr>
                <w:lang w:eastAsia="ru-RU"/>
              </w:rPr>
            </w:pPr>
            <w:r>
              <w:rPr>
                <w:lang w:eastAsia="ru-RU"/>
              </w:rPr>
              <w:t>№ 74-2023-63602 изм1</w:t>
            </w:r>
          </w:p>
          <w:p w:rsidR="008529AD" w:rsidRDefault="008529AD" w:rsidP="00B60F0C">
            <w:pPr>
              <w:spacing w:before="40" w:after="40"/>
            </w:pPr>
            <w:r w:rsidRPr="00052BFE">
              <w:rPr>
                <w:color w:val="000000" w:themeColor="text1"/>
              </w:rPr>
              <w:t xml:space="preserve">Приказ № 421/пр. от 4 августа 2020 г ; </w:t>
            </w:r>
          </w:p>
          <w:p w:rsidR="008529AD" w:rsidRDefault="008529AD" w:rsidP="008529AD">
            <w:pPr>
              <w:spacing w:before="40" w:after="40"/>
              <w:rPr>
                <w:color w:val="000000" w:themeColor="text1"/>
              </w:rPr>
            </w:pPr>
            <w:r>
              <w:t>приказ 325/пр от 25.05.2021 г.</w:t>
            </w:r>
          </w:p>
          <w:p w:rsidR="008529AD" w:rsidRDefault="008529AD" w:rsidP="008529AD">
            <w:pPr>
              <w:spacing w:before="40" w:after="4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457E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Письмо Минстроя России от 28.11.2023 №73528-ИФ/09, прил.1</w:t>
            </w:r>
          </w:p>
          <w:p w:rsidR="008529AD" w:rsidRDefault="008529AD" w:rsidP="008529AD">
            <w:r w:rsidRPr="00C17269">
              <w:rPr>
                <w:color w:val="000000" w:themeColor="text1"/>
              </w:rPr>
              <w:t xml:space="preserve"> </w:t>
            </w:r>
            <w:r w:rsidRPr="00633B0B">
              <w:rPr>
                <w:color w:val="000000" w:themeColor="text1"/>
              </w:rPr>
              <w:t>«</w:t>
            </w:r>
            <w:r w:rsidRPr="00633B0B">
              <w:rPr>
                <w:color w:val="000000" w:themeColor="text1"/>
                <w:sz w:val="24"/>
                <w:szCs w:val="24"/>
              </w:rPr>
              <w:t>Данные ЦСИ по РБ.»</w:t>
            </w:r>
          </w:p>
          <w:p w:rsidR="008529AD" w:rsidRPr="00C17269" w:rsidRDefault="008529AD" w:rsidP="00852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прайс листы</w:t>
            </w:r>
          </w:p>
        </w:tc>
      </w:tr>
      <w:tr w:rsidR="008529AD" w:rsidRPr="00F05FF9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AD" w:rsidRDefault="008529AD" w:rsidP="008529AD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</w:pPr>
            <w:r>
              <w:lastRenderedPageBreak/>
              <w:t xml:space="preserve"> </w:t>
            </w:r>
          </w:p>
          <w:p w:rsidR="008529AD" w:rsidRPr="00F05FF9" w:rsidRDefault="008529AD" w:rsidP="008529AD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8529AD" w:rsidRPr="00F05FF9" w:rsidRDefault="008529AD" w:rsidP="008529AD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968" w:type="dxa"/>
          </w:tcPr>
          <w:p w:rsidR="008529AD" w:rsidRPr="003D0D59" w:rsidRDefault="008529AD" w:rsidP="008529AD">
            <w:pPr>
              <w:spacing w:before="40" w:after="40"/>
            </w:pPr>
            <w:r w:rsidRPr="003D0D59">
              <w:t>Гарантийный срок выполненных работ составляет 5 лет с даты подписания актов по форме КС-2, либо с даты устранения недостатков, выявленных в период гарантийного срока.</w:t>
            </w:r>
          </w:p>
        </w:tc>
      </w:tr>
      <w:tr w:rsidR="008529AD" w:rsidRPr="00F05FF9" w:rsidTr="00111E70">
        <w:tc>
          <w:tcPr>
            <w:tcW w:w="936" w:type="dxa"/>
            <w:tcBorders>
              <w:top w:val="single" w:sz="4" w:space="0" w:color="auto"/>
            </w:tcBorders>
          </w:tcPr>
          <w:p w:rsidR="008529AD" w:rsidRPr="00F05FF9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529AD" w:rsidRPr="00F05FF9" w:rsidRDefault="008529AD" w:rsidP="008529AD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968" w:type="dxa"/>
          </w:tcPr>
          <w:p w:rsidR="008529AD" w:rsidRDefault="008529AD" w:rsidP="008529AD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</w:rPr>
            </w:pPr>
            <w:r w:rsidRPr="004A1FD8">
              <w:rPr>
                <w:color w:val="000000" w:themeColor="text1"/>
              </w:rPr>
              <w:t>Сметный расчет</w:t>
            </w:r>
          </w:p>
          <w:p w:rsidR="008529AD" w:rsidRDefault="008529AD" w:rsidP="00B60F0C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</w:rPr>
            </w:pPr>
            <w:r w:rsidRPr="00C17269">
              <w:rPr>
                <w:color w:val="000000" w:themeColor="text1"/>
              </w:rPr>
              <w:t>Заявка на НМЦ</w:t>
            </w:r>
            <w:r>
              <w:rPr>
                <w:color w:val="000000" w:themeColor="text1"/>
              </w:rPr>
              <w:t xml:space="preserve"> Заявка </w:t>
            </w:r>
            <w:r w:rsidRPr="008529AD">
              <w:rPr>
                <w:color w:val="000000" w:themeColor="text1"/>
              </w:rPr>
              <w:t xml:space="preserve">№ </w:t>
            </w:r>
            <w:r w:rsidR="00B60F0C" w:rsidRPr="00B60F0C">
              <w:rPr>
                <w:color w:val="000000" w:themeColor="text1"/>
              </w:rPr>
              <w:t>№ 9-ОРЗиС/24 от 30.11.2023</w:t>
            </w:r>
          </w:p>
          <w:p w:rsidR="00B60F0C" w:rsidRPr="00B60F0C" w:rsidRDefault="00B60F0C" w:rsidP="00B60F0C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17.02.01.03-11/718</w:t>
            </w:r>
          </w:p>
        </w:tc>
      </w:tr>
    </w:tbl>
    <w:p w:rsidR="00D94C68" w:rsidRDefault="00D94C68"/>
    <w:p w:rsidR="00C17269" w:rsidRPr="00F05FF9" w:rsidRDefault="00C17269" w:rsidP="00C17269">
      <w:pPr>
        <w:keepNext/>
        <w:tabs>
          <w:tab w:val="right" w:pos="3969"/>
          <w:tab w:val="right" w:pos="6663"/>
          <w:tab w:val="right" w:pos="9923"/>
        </w:tabs>
        <w:spacing w:before="480"/>
        <w:jc w:val="both"/>
      </w:pPr>
      <w:bookmarkStart w:id="0" w:name="_GoBack"/>
      <w:bookmarkEnd w:id="0"/>
    </w:p>
    <w:p w:rsidR="00C17269" w:rsidRDefault="00C17269" w:rsidP="00C17269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</w:p>
    <w:p w:rsidR="00873C3F" w:rsidRDefault="00873C3F" w:rsidP="00C17269">
      <w:pPr>
        <w:keepNext/>
        <w:tabs>
          <w:tab w:val="right" w:pos="3969"/>
          <w:tab w:val="right" w:pos="6663"/>
          <w:tab w:val="right" w:pos="9923"/>
        </w:tabs>
        <w:spacing w:before="480"/>
        <w:jc w:val="both"/>
      </w:pPr>
    </w:p>
    <w:sectPr w:rsidR="008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EA" w:rsidRDefault="00FF4EEA" w:rsidP="00D94C68">
      <w:pPr>
        <w:spacing w:before="0"/>
      </w:pPr>
      <w:r>
        <w:separator/>
      </w:r>
    </w:p>
  </w:endnote>
  <w:endnote w:type="continuationSeparator" w:id="0">
    <w:p w:rsidR="00FF4EEA" w:rsidRDefault="00FF4EEA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EA" w:rsidRDefault="00FF4EEA" w:rsidP="00D94C68">
      <w:pPr>
        <w:spacing w:before="0"/>
      </w:pPr>
      <w:r>
        <w:separator/>
      </w:r>
    </w:p>
  </w:footnote>
  <w:footnote w:type="continuationSeparator" w:id="0">
    <w:p w:rsidR="00FF4EEA" w:rsidRDefault="00FF4EEA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477CF"/>
    <w:rsid w:val="00052BFE"/>
    <w:rsid w:val="00053182"/>
    <w:rsid w:val="000911CD"/>
    <w:rsid w:val="000C7FFD"/>
    <w:rsid w:val="00111E70"/>
    <w:rsid w:val="00127F21"/>
    <w:rsid w:val="001837D0"/>
    <w:rsid w:val="001A74B1"/>
    <w:rsid w:val="001E6E01"/>
    <w:rsid w:val="001F5374"/>
    <w:rsid w:val="00236CFF"/>
    <w:rsid w:val="002442A6"/>
    <w:rsid w:val="0026074E"/>
    <w:rsid w:val="00265919"/>
    <w:rsid w:val="002829CE"/>
    <w:rsid w:val="003165FC"/>
    <w:rsid w:val="00317048"/>
    <w:rsid w:val="00324F09"/>
    <w:rsid w:val="00384B1C"/>
    <w:rsid w:val="003B45DD"/>
    <w:rsid w:val="003C35C9"/>
    <w:rsid w:val="003D0D59"/>
    <w:rsid w:val="003D5AF6"/>
    <w:rsid w:val="003E5C7B"/>
    <w:rsid w:val="00413A68"/>
    <w:rsid w:val="00422D9E"/>
    <w:rsid w:val="00441D09"/>
    <w:rsid w:val="00441EAC"/>
    <w:rsid w:val="00455133"/>
    <w:rsid w:val="00463D56"/>
    <w:rsid w:val="004B6913"/>
    <w:rsid w:val="004C0A20"/>
    <w:rsid w:val="004E6EA0"/>
    <w:rsid w:val="004F1EDE"/>
    <w:rsid w:val="005225AC"/>
    <w:rsid w:val="0053465D"/>
    <w:rsid w:val="0055553E"/>
    <w:rsid w:val="00560C48"/>
    <w:rsid w:val="005662D9"/>
    <w:rsid w:val="005C7255"/>
    <w:rsid w:val="005D672C"/>
    <w:rsid w:val="005F0D93"/>
    <w:rsid w:val="005F3088"/>
    <w:rsid w:val="006230ED"/>
    <w:rsid w:val="00627E5E"/>
    <w:rsid w:val="00653E3D"/>
    <w:rsid w:val="006659C2"/>
    <w:rsid w:val="00693836"/>
    <w:rsid w:val="00697F4D"/>
    <w:rsid w:val="00701CA8"/>
    <w:rsid w:val="00711075"/>
    <w:rsid w:val="00742B5C"/>
    <w:rsid w:val="007843D9"/>
    <w:rsid w:val="007B1981"/>
    <w:rsid w:val="007C66B9"/>
    <w:rsid w:val="007F1733"/>
    <w:rsid w:val="00802671"/>
    <w:rsid w:val="0081126B"/>
    <w:rsid w:val="00813253"/>
    <w:rsid w:val="008529AD"/>
    <w:rsid w:val="00873C3F"/>
    <w:rsid w:val="008C7AC7"/>
    <w:rsid w:val="008F0F6B"/>
    <w:rsid w:val="0092462D"/>
    <w:rsid w:val="00940E80"/>
    <w:rsid w:val="00964E8E"/>
    <w:rsid w:val="00975C49"/>
    <w:rsid w:val="00992BDE"/>
    <w:rsid w:val="009A6F46"/>
    <w:rsid w:val="009B20E5"/>
    <w:rsid w:val="009C0604"/>
    <w:rsid w:val="009D1340"/>
    <w:rsid w:val="009F0D28"/>
    <w:rsid w:val="00A22207"/>
    <w:rsid w:val="00A52C0A"/>
    <w:rsid w:val="00A837EA"/>
    <w:rsid w:val="00A918A4"/>
    <w:rsid w:val="00A951D4"/>
    <w:rsid w:val="00A976D9"/>
    <w:rsid w:val="00AA1503"/>
    <w:rsid w:val="00AA6EDF"/>
    <w:rsid w:val="00AC288D"/>
    <w:rsid w:val="00B00E23"/>
    <w:rsid w:val="00B06E0A"/>
    <w:rsid w:val="00B10221"/>
    <w:rsid w:val="00B21BD2"/>
    <w:rsid w:val="00B23DE6"/>
    <w:rsid w:val="00B276FC"/>
    <w:rsid w:val="00B323D9"/>
    <w:rsid w:val="00B377A4"/>
    <w:rsid w:val="00B37A78"/>
    <w:rsid w:val="00B60F0C"/>
    <w:rsid w:val="00B7457E"/>
    <w:rsid w:val="00BC558E"/>
    <w:rsid w:val="00BF4D1D"/>
    <w:rsid w:val="00C1331C"/>
    <w:rsid w:val="00C17269"/>
    <w:rsid w:val="00C64173"/>
    <w:rsid w:val="00C87DFE"/>
    <w:rsid w:val="00CB745F"/>
    <w:rsid w:val="00CC163D"/>
    <w:rsid w:val="00CF1B24"/>
    <w:rsid w:val="00D04889"/>
    <w:rsid w:val="00D54FAA"/>
    <w:rsid w:val="00D94C68"/>
    <w:rsid w:val="00DB6D8C"/>
    <w:rsid w:val="00DF7259"/>
    <w:rsid w:val="00E03DB0"/>
    <w:rsid w:val="00E066B4"/>
    <w:rsid w:val="00E2468C"/>
    <w:rsid w:val="00E363D3"/>
    <w:rsid w:val="00E42A08"/>
    <w:rsid w:val="00E51BB5"/>
    <w:rsid w:val="00E80B5E"/>
    <w:rsid w:val="00E836A9"/>
    <w:rsid w:val="00E86ED6"/>
    <w:rsid w:val="00F06D4F"/>
    <w:rsid w:val="00F104AE"/>
    <w:rsid w:val="00F40556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837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Высоцкая Валентина Викторовна</cp:lastModifiedBy>
  <cp:revision>3</cp:revision>
  <cp:lastPrinted>2021-06-24T04:40:00Z</cp:lastPrinted>
  <dcterms:created xsi:type="dcterms:W3CDTF">2023-12-18T14:02:00Z</dcterms:created>
  <dcterms:modified xsi:type="dcterms:W3CDTF">2024-01-12T09:07:00Z</dcterms:modified>
</cp:coreProperties>
</file>