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№1 к документации</w:t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Спецификация (описание объекта закупки)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на поставку куриной продукции</w:t>
      </w:r>
    </w:p>
    <w:tbl>
      <w:tblPr>
        <w:tblW w:w="15774" w:type="dxa"/>
        <w:jc w:val="left"/>
        <w:tblInd w:w="-40" w:type="dxa"/>
        <w:tblLayout w:type="fixed"/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"/>
        <w:gridCol w:w="399"/>
        <w:gridCol w:w="1737"/>
        <w:gridCol w:w="6879"/>
        <w:gridCol w:w="1123"/>
        <w:gridCol w:w="1238"/>
        <w:gridCol w:w="8"/>
        <w:gridCol w:w="1395"/>
        <w:gridCol w:w="1255"/>
        <w:gridCol w:w="1704"/>
      </w:tblGrid>
      <w:tr>
        <w:trPr>
          <w:trHeight w:val="809" w:hRule="atLeast"/>
        </w:trPr>
        <w:tc>
          <w:tcPr>
            <w:tcW w:w="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09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Описание объекта закупки</w:t>
            </w:r>
          </w:p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*указываются показатели, позволяющие определить соответствие закупаемых товаров потребностям заказчика (максимальные и (или) минимальные значения показателей, а также значения показателей, которые не могут изменяться)</w:t>
            </w:r>
          </w:p>
        </w:tc>
        <w:tc>
          <w:tcPr>
            <w:tcW w:w="43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Предложение участника закупки</w:t>
            </w:r>
          </w:p>
          <w:p>
            <w:pPr>
              <w:pStyle w:val="Normal"/>
              <w:jc w:val="center"/>
              <w:rPr>
                <w:b/>
                <w:i/>
                <w:i/>
                <w:strike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Заполняется участником закупки в соответствии с Инструкцией по заполнению заявки</w:t>
            </w:r>
          </w:p>
        </w:tc>
      </w:tr>
      <w:tr>
        <w:trPr>
          <w:trHeight w:val="3145" w:hRule="exact"/>
          <w:cantSplit w:val="true"/>
        </w:trPr>
        <w:tc>
          <w:tcPr>
            <w:tcW w:w="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 закупки (товара)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качественные характеристики объекта закупки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(товара), единицы измерения</w:t>
            </w:r>
          </w:p>
          <w:p>
            <w:pPr>
              <w:pStyle w:val="Normal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Ед.</w:t>
            </w:r>
          </w:p>
          <w:p>
            <w:pPr>
              <w:pStyle w:val="Normal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Количество (объем)</w:t>
            </w:r>
          </w:p>
        </w:tc>
        <w:tc>
          <w:tcPr>
            <w:tcW w:w="14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страны происхождения товара</w:t>
            </w:r>
          </w:p>
          <w:p>
            <w:pPr>
              <w:pStyle w:val="Normal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highlight w:val="yellow"/>
                <w:lang w:eastAsia="en-US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Качественные характеристики объекта закупки (товара), единицы измерения</w:t>
            </w:r>
          </w:p>
        </w:tc>
      </w:tr>
      <w:tr>
        <w:trPr>
          <w:trHeight w:val="704" w:hRule="exact"/>
          <w:cantSplit w:val="true"/>
        </w:trPr>
        <w:tc>
          <w:tcPr>
            <w:tcW w:w="4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keepNext w:val="true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Куриная тушка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/>
              <w:t>10.12.20.110</w:t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</w:tc>
        <w:tc>
          <w:tcPr>
            <w:tcW w:w="1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кг.</w:t>
            </w:r>
          </w:p>
        </w:tc>
        <w:tc>
          <w:tcPr>
            <w:tcW w:w="12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3535" w:hRule="exact"/>
          <w:cantSplit w:val="true"/>
        </w:trPr>
        <w:tc>
          <w:tcPr>
            <w:tcW w:w="43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которые не изменяются: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Соответствие ГОСТ 31962-2013, ГОСТ Р 52306-2005. ТР ТС 021/2011. Наименование мяса птицы: Цыплята-бройлеры. Глубокозамороженные. Температура в толще мышц не выше минус 18С.</w:t>
            </w:r>
          </w:p>
          <w:p>
            <w:pPr>
              <w:pStyle w:val="Normal"/>
              <w:ind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мяса по способу разделки: целая тушка. Сорт: первый. Масса тушки свыше 0,95кг. Массовая доля белка не менее 18%; Массовая доля жира не более 20 %;</w:t>
            </w:r>
          </w:p>
          <w:p>
            <w:pPr>
              <w:pStyle w:val="Normal"/>
              <w:ind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Массовая доля влаги, выделившейся при размораживании мяса птицы не более 4%. Хорошо обескровлены.</w:t>
            </w:r>
          </w:p>
          <w:p>
            <w:pPr>
              <w:pStyle w:val="Normal"/>
              <w:ind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 свойственный свежему мясу данного вида птицы.</w:t>
            </w:r>
          </w:p>
          <w:p>
            <w:pPr>
              <w:pStyle w:val="Normal"/>
              <w:ind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 мышечной ткани от бледно розового до розового.</w:t>
            </w:r>
          </w:p>
          <w:p>
            <w:pPr>
              <w:pStyle w:val="Normal"/>
              <w:ind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 кожи бледно-желтый с розовым оттенком или без него. Кожа чистая, без разрывов, царапин, пятен, ссадин и кровоподтеков. Не допускается наличие пеньков, волосовидного пера.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Цвет подкожного или внутреннего жира бледно-желтый или желтый. Костная система без переломов и деформаций. Киль грудной кости окостеневший. В индивидуальной упаковке. </w:t>
            </w:r>
            <w:r>
              <w:rPr>
                <w:b/>
                <w:bCs/>
                <w:sz w:val="18"/>
                <w:szCs w:val="18"/>
              </w:rPr>
              <w:t>Остаточный срок годности не менее 90 % на момент поставки товара.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</w:r>
          </w:p>
          <w:p>
            <w:pPr>
              <w:pStyle w:val="Normal"/>
              <w:ind w:right="11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0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730" w:hRule="exact"/>
          <w:cantSplit w:val="true"/>
        </w:trPr>
        <w:tc>
          <w:tcPr>
            <w:tcW w:w="43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0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436" w:hRule="exact"/>
          <w:cantSplit w:val="true"/>
        </w:trPr>
        <w:tc>
          <w:tcPr>
            <w:tcW w:w="4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keepNext w:val="true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Куриная грудка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/>
              <w:t>10.12.20.110</w:t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</w:tc>
        <w:tc>
          <w:tcPr>
            <w:tcW w:w="1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2980" w:hRule="exact"/>
          <w:cantSplit w:val="true"/>
        </w:trPr>
        <w:tc>
          <w:tcPr>
            <w:tcW w:w="43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которые не изменяются: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Соответствие ГОСТ 31962-2013, ГОСТ Р 52306-2005. ТР ТС 021/2011. Наименование мяса птицы: Цыплята-бройлеры. Сорт первый. Температура в толще мышц не выше минус 18С. Срок годности не более 3мес.</w:t>
            </w:r>
          </w:p>
          <w:p>
            <w:pPr>
              <w:pStyle w:val="Normal"/>
              <w:ind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мяса по способу разделки: Грудка. Массовая доля белка не менее 21 %;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Массовая доля жира не более 5 %; Массовая доля влаги, выделившейся при размораживании мяса птицы для детского питания не более 4%. Часть тушки, состоящая из целой грудной кости с прилегающими к ней мякотными тканями с кожей.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Запах свойственный свежему мясу данного вида птицы. Цвет мышечной ткани от бледно розового до розового. Цвет кожи бледно-желтый с розовым оттенком или без него. Кожа чистая, без разрывов, царапин, пятен, ссадин и кровоподтеков. Не допускается наличие пеньков, волосовидного пера. Цвет подкожного или внутреннего жира бледно-желтый или желтый. В индивидуальной упаковке..  </w:t>
            </w:r>
            <w:r>
              <w:rPr>
                <w:b/>
                <w:bCs/>
                <w:sz w:val="18"/>
                <w:szCs w:val="18"/>
              </w:rPr>
              <w:t>Остаточный срок годности не менее 90 % на момент поставки товара.</w:t>
            </w:r>
          </w:p>
        </w:tc>
        <w:tc>
          <w:tcPr>
            <w:tcW w:w="11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0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419" w:hRule="exact"/>
          <w:cantSplit w:val="true"/>
        </w:trPr>
        <w:tc>
          <w:tcPr>
            <w:tcW w:w="43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0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568" w:hRule="exact"/>
          <w:cantSplit w:val="true"/>
        </w:trPr>
        <w:tc>
          <w:tcPr>
            <w:tcW w:w="4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keepNext w:val="true"/>
              <w:keepLine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Бедро куриное</w:t>
            </w:r>
          </w:p>
          <w:p>
            <w:pPr>
              <w:pStyle w:val="Normal"/>
              <w:jc w:val="center"/>
              <w:rPr/>
            </w:pPr>
            <w:r>
              <w:rPr/>
              <w:t>10.12.20.110</w:t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</w:tc>
        <w:tc>
          <w:tcPr>
            <w:tcW w:w="1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3120" w:hRule="exact"/>
          <w:cantSplit w:val="true"/>
        </w:trPr>
        <w:tc>
          <w:tcPr>
            <w:tcW w:w="43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Показатели, которые не изменяются: </w:t>
            </w:r>
            <w:r>
              <w:rPr>
                <w:sz w:val="18"/>
                <w:szCs w:val="18"/>
              </w:rPr>
              <w:t>Соответствие ГОСТ 31962-2013, ГОСТ Р 52306-2005. ТР ТС 021/2011. Наименование мяса птицы: Цыплята-бройлеры. Сорт первый. Температура в толще мышц не выше минус 18С. Срок годности не более 3мес.</w:t>
            </w:r>
          </w:p>
          <w:p>
            <w:pPr>
              <w:pStyle w:val="Normal"/>
              <w:ind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мяса по способу разделки: Бедро. Массовая доля белка не менее 18 %;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Массовая доля жира не более 8 %; Массовая доля влаги, выделившейся при размораживании мяса птицы для детского питания не более 4%. Часть тушки, состоящая из целой грудной кости с прилегающими к ней мякотными тканями с кожей.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Запах свойственный свежему мясу данного вида птицы. Цвет мышечной ткани от бледно розового до розового. Цвет кожи бледно-желтый с розовым оттенком или без него. Кожа чистая, без разрывов, царапин, пятен, ссадин и кровоподтеков. Не допускается наличие пеньков, волосовидного пера. Цвет подкожного или внутреннего жира бледно-желтый или желтый. В индивидуальной упаковке..</w:t>
            </w:r>
          </w:p>
          <w:p>
            <w:pPr>
              <w:pStyle w:val="Normal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Остаточный срок годности не менее 90 % на момент поставки товара.</w:t>
            </w:r>
          </w:p>
        </w:tc>
        <w:tc>
          <w:tcPr>
            <w:tcW w:w="11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0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394" w:hRule="atLeast"/>
          <w:cantSplit w:val="true"/>
        </w:trPr>
        <w:tc>
          <w:tcPr>
            <w:tcW w:w="43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0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показатели в диапазоне</w:t>
            </w:r>
          </w:p>
        </w:tc>
      </w:tr>
      <w:tr>
        <w:trPr>
          <w:trHeight w:val="1570" w:hRule="exact"/>
          <w:cantSplit w:val="true"/>
        </w:trPr>
        <w:tc>
          <w:tcPr>
            <w:tcW w:w="34" w:type="dxa"/>
            <w:tcBorders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keepNext w:val="true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Яйца куриные в скорлупе свежие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/>
              <w:t>01.47.21.000</w:t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</w:tc>
        <w:tc>
          <w:tcPr>
            <w:tcW w:w="1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13320,00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1705" w:hRule="exact"/>
          <w:cantSplit w:val="true"/>
        </w:trPr>
        <w:tc>
          <w:tcPr>
            <w:tcW w:w="34" w:type="dxa"/>
            <w:tcBorders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Показатели, которые не изменяются: </w:t>
            </w:r>
            <w:r>
              <w:rPr>
                <w:sz w:val="18"/>
                <w:szCs w:val="18"/>
              </w:rPr>
              <w:t>Соответствие ГОСТ 31654-2012. ТР ТС 021/2011. Категория яйца: Первая. Класс яйца: Столовое.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 коробке не более 360 шт.</w:t>
            </w:r>
          </w:p>
          <w:p>
            <w:pPr>
              <w:pStyle w:val="Normal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Скорлупа яиц должна быть чистой, без пятен крови и помета, и неповрежденной. Маркировка нанесена на каждую единицу упаковочной тары с полной информацией о продукте.  </w:t>
            </w:r>
            <w:r>
              <w:rPr>
                <w:b/>
                <w:bCs/>
                <w:sz w:val="18"/>
                <w:szCs w:val="18"/>
              </w:rPr>
              <w:t>Остаточный срок годности не менее 90 % на момент поставки товара.</w:t>
            </w:r>
          </w:p>
        </w:tc>
        <w:tc>
          <w:tcPr>
            <w:tcW w:w="11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0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406" w:hRule="atLeast"/>
          <w:cantSplit w:val="true"/>
        </w:trPr>
        <w:tc>
          <w:tcPr>
            <w:tcW w:w="34" w:type="dxa"/>
            <w:tcBorders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0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показатели в диапазоне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КАЧЕСТВО, МАРКИРОВКА ТОВАРА: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Качество товара должно соответствовать ГОСТам, ТУ, ТШ, ТР, ТС на данный вид товара строго заявленные Покупателем в спецификации и подтверждаться имеющимися сертификатами качества, декларациями и протоколами испытаний, подтверждающие достоверность информации: «без ГМО», «не содержит ГМО» выданными заводом производителем. 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Копии сертификатов, заверенных надлежащим образом, подлежат передаче одновременно с передачей Товара. 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3. Качество товара должно соответствовать виду (классу), установленному в Техническом задании. Товар по показателям безопасности и пищевой ценности должен соответствовать единым санитарно-эпидемиологическим и гигиеническим требованиям к продукции (товару), подлежащей санитарно-эпидемиологическому надзору(контролю) (утверждены Решением Комиссии Таможенного союза от 28.05.2010 №299 «О применении санитарных мер в Евразийском экономическом союзе), Техническому регламенту Таможенного союза ТР ТС 021/2011 «О безопасности пищевой продукции» (утвержден Решением Комиссии Таможенного союза от 09.12.2011 № 880).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4. Товар должен иметь маркировку и содержать информацию в соответствии с требованиями действующего законодательства Российской Федерации и спецификации.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СРОКИ И УСЛОВИЯ ПОСТАВКИ ТОВАРА: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1. Поставка Товара осуществляется с 01.01.2025 до 31.12.2025 по заявкам Покупателя 3 (три) раза в неделю (понедельник, среда, пятница) до 12.00 часов.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2. Место поставки товара: Тюменская область, г.Тобольск, улица Семена Ремезова, 70, строение 1.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3. Товар должен быть упакован в тару и упаковку, обеспечивающую сохранность Товара при перевозке и проведении погрузочно-разгрузочных работ.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При поставке тара и упаковка не должны иметь признаков повреждения, ржавчины, вмятин и нарушения целостности. 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5. Поставка продуктов, требующих соблюдение температурного режима осуществляется автотранспортом с фургоном рефрижератором.</w:t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>6. Поставщик должен быть зарегистрированным в государственной информационной системе Меркурий (далее- ГИС Меркурий) и добросовестно фиксировать оборот (производство, перемещение, передача Покупателю) подконтрольных товаров;</w:t>
      </w:r>
    </w:p>
    <w:sectPr>
      <w:type w:val="nextPage"/>
      <w:pgSz w:orient="landscape" w:w="16838" w:h="11906"/>
      <w:pgMar w:left="567" w:right="567" w:gutter="0" w:header="0" w:top="993" w:footer="0" w:bottom="851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e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e350b0"/>
    <w:rPr>
      <w:rFonts w:ascii="Times New Roman" w:hAnsi="Times New Roman" w:eastAsia="Times New Roman" w:cs="Times New Roman"/>
      <w:sz w:val="28"/>
      <w:szCs w:val="24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cb78a5"/>
    <w:rPr>
      <w:rFonts w:ascii="Segoe UI" w:hAnsi="Segoe UI" w:eastAsia="Times New Roman" w:cs="Segoe UI"/>
      <w:sz w:val="18"/>
      <w:szCs w:val="18"/>
      <w:lang w:eastAsia="ru-RU"/>
    </w:rPr>
  </w:style>
  <w:style w:type="character" w:styleId="Apple-converted-space" w:customStyle="1">
    <w:name w:val="apple-converted-space"/>
    <w:basedOn w:val="DefaultParagraphFont"/>
    <w:qFormat/>
    <w:rsid w:val="009b3d7c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e728c7"/>
    <w:pPr>
      <w:spacing w:lineRule="auto" w:line="288" w:before="0" w:after="140"/>
    </w:pPr>
    <w:rPr/>
  </w:style>
  <w:style w:type="paragraph" w:styleId="List">
    <w:name w:val="List"/>
    <w:basedOn w:val="BodyText"/>
    <w:rsid w:val="00e728c7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Заголовок1"/>
    <w:basedOn w:val="Normal"/>
    <w:next w:val="BodyText"/>
    <w:qFormat/>
    <w:rsid w:val="00e728c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1" w:customStyle="1">
    <w:name w:val="Название объекта1"/>
    <w:basedOn w:val="Normal"/>
    <w:qFormat/>
    <w:rsid w:val="00e728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e728c7"/>
    <w:pPr>
      <w:suppressLineNumbers/>
    </w:pPr>
    <w:rPr>
      <w:rFonts w:cs="Mangal"/>
    </w:rPr>
  </w:style>
  <w:style w:type="paragraph" w:styleId="BodyTextIndent">
    <w:name w:val="Body Text Indent"/>
    <w:basedOn w:val="Normal"/>
    <w:rsid w:val="00e350b0"/>
    <w:pPr>
      <w:ind w:firstLine="851"/>
      <w:jc w:val="both"/>
    </w:pPr>
    <w:rPr>
      <w:sz w:val="28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cb78a5"/>
    <w:pPr/>
    <w:rPr>
      <w:rFonts w:ascii="Segoe UI" w:hAnsi="Segoe UI" w:cs="Segoe UI"/>
      <w:sz w:val="18"/>
      <w:szCs w:val="18"/>
    </w:rPr>
  </w:style>
  <w:style w:type="paragraph" w:styleId="Style18" w:customStyle="1">
    <w:name w:val="Содержимое таблицы"/>
    <w:basedOn w:val="Normal"/>
    <w:qFormat/>
    <w:rsid w:val="00e728c7"/>
    <w:pPr/>
    <w:rPr/>
  </w:style>
  <w:style w:type="paragraph" w:styleId="Style19" w:customStyle="1">
    <w:name w:val="Заголовок таблицы"/>
    <w:basedOn w:val="Style18"/>
    <w:qFormat/>
    <w:rsid w:val="00e728c7"/>
    <w:pPr/>
    <w:rPr/>
  </w:style>
  <w:style w:type="paragraph" w:styleId="S1" w:customStyle="1">
    <w:name w:val="s_1"/>
    <w:basedOn w:val="Normal"/>
    <w:qFormat/>
    <w:rsid w:val="009b3d7c"/>
    <w:pPr>
      <w:spacing w:beforeAutospacing="1" w:afterAutospacing="1"/>
    </w:pPr>
    <w:rPr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4F2FB-C7EC-467B-B9D9-F3441B03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LibreOffice/24.2.1.2$Windows_X86_64 LibreOffice_project/db4def46b0453cc22e2d0305797cf981b68ef5ac</Application>
  <AppVersion>15.0000</AppVersion>
  <Pages>3</Pages>
  <Words>967</Words>
  <Characters>6511</Characters>
  <CharactersWithSpaces>7397</CharactersWithSpaces>
  <Paragraphs>90</Paragraphs>
  <Company>Computer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2022-11-22T13:08:00Z</dcterms:created>
  <dc:creator>Специалист -2</dc:creator>
  <dc:description/>
  <dc:language>ru-RU</dc:language>
  <cp:lastModifiedBy/>
  <cp:lastPrinted>2024-10-11T10:35:20Z</cp:lastPrinted>
  <dcterms:modified xsi:type="dcterms:W3CDTF">2024-11-26T15:08:11Z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