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77" w:rsidRDefault="004C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676777" w:rsidRDefault="004C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Hlk52289503"/>
      <w:r>
        <w:rPr>
          <w:rFonts w:ascii="Times New Roman" w:hAnsi="Times New Roman" w:cs="Times New Roman"/>
          <w:b/>
          <w:sz w:val="28"/>
          <w:szCs w:val="28"/>
        </w:rPr>
        <w:t xml:space="preserve">оказание услуг по проведению аудита </w:t>
      </w:r>
    </w:p>
    <w:p w:rsidR="00676777" w:rsidRDefault="004C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системы управления охраной труда </w:t>
      </w:r>
      <w:bookmarkEnd w:id="0"/>
    </w:p>
    <w:p w:rsidR="00676777" w:rsidRDefault="0067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ПРИНЯТЫХ СОКРАЩЕНИЙ</w:t>
      </w:r>
    </w:p>
    <w:tbl>
      <w:tblPr>
        <w:tblW w:w="921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414"/>
        <w:gridCol w:w="5808"/>
      </w:tblGrid>
      <w:tr w:rsidR="00676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676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 Общество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«Агрофирма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6777"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или физическое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том числе зарегистрированное в качестве индивидуального предпринимателя, оказывающее услуги в соответствии с заключенным договором</w:t>
            </w:r>
          </w:p>
        </w:tc>
      </w:tr>
      <w:tr w:rsidR="00676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и Исполнитель</w:t>
            </w:r>
          </w:p>
        </w:tc>
      </w:tr>
      <w:tr w:rsidR="00676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676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СУОТ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охраной труда</w:t>
            </w:r>
          </w:p>
        </w:tc>
      </w:tr>
      <w:tr w:rsidR="00676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777" w:rsidRDefault="004C4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</w:tc>
      </w:tr>
    </w:tbl>
    <w:p w:rsidR="00676777" w:rsidRDefault="00676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УСЛУГИ</w:t>
      </w:r>
    </w:p>
    <w:p w:rsidR="00676777" w:rsidRDefault="004C403A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проведению аудита системы управления охраной труда </w:t>
      </w:r>
      <w:bookmarkStart w:id="1" w:name="_GoBack"/>
      <w:bookmarkEnd w:id="1"/>
    </w:p>
    <w:p w:rsidR="00676777" w:rsidRDefault="0067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ОПИСАНИЕ УСЛУГИ, ЦЕЛЬ И ЗАДАЧИ</w:t>
      </w:r>
    </w:p>
    <w:p w:rsidR="00676777" w:rsidRDefault="004C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Исполнитель обязан провести документарный и инспекционный аудит СУОТ Заказчика. Оказание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услуг проводится в отношении объектов, перечисленных в Приложении № 1 к ТЗ, в соответствии с положениями настоящего ТЗ.</w:t>
      </w:r>
    </w:p>
    <w:p w:rsidR="00676777" w:rsidRDefault="004C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Оказание услуг осуществляется с целью проверки СУОТ на объектах ООО «Агрофирма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Ариант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 соответствующее требованиям действующего законод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ательства об охране труда (п. 6.1. ТЗ), а также иным отраслевым нормативным актам, имеющим обязательную силу для Заказчика, и обеспечивающей достижение показателей нулевого травматизма.</w:t>
      </w:r>
    </w:p>
    <w:p w:rsidR="00676777" w:rsidRDefault="004C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Задачей оказания услуг является формирование локальных нормативных акт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 Заказчика, поддерживающих функционирование СУОТ Заказчика, обеспечивающей достижение показателей нулевого травматизма и соответствие требованиям действующего законодательства об охране труда.</w:t>
      </w:r>
    </w:p>
    <w:p w:rsidR="00676777" w:rsidRDefault="00676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ТРЕБОВАНИЯ К СРОКУ И МЕСТУ ОКАЗАНИЯ УСЛУГ</w:t>
      </w:r>
    </w:p>
    <w:p w:rsidR="00676777" w:rsidRDefault="004C4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оказания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слуг, указанных в пунктах 5.1, 5.2., 5.3, 5.4., 5.5. настоящего Технического задания - в течение 90 (девяноста) календарных дней с даты заключения Договора.</w:t>
      </w:r>
    </w:p>
    <w:p w:rsidR="00676777" w:rsidRDefault="00676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ХАРАКТЕРИСТИКИ ОКАЗЫВАЕМЫХ УСЛУГ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рамках оказания услуг Исполнитель не позднее 15 (пятнадцати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рабочих дней с даты заключения Договора должен представить и согласовать с Заказчиком программу аудита, в которой должны быть отражены (но не ограничиваясь): границы проведения документарного аудита СУОТ Заказчика на соответствие требованиям действующего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законодательства в области охраны труда, а также отраслевым нормативным актам, имеющим обязательную силу для Заказчика, аудита эффективности процедур в рамках СУОТ Заказчика, инспекционного аудита – в части определения перечня обследуемых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структурных подр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азделений Заказчика, перечень запрашиваемой и предоставляемой информации по вопросам управления и процессам в области СУОТ Заказчика, график оказания услуг.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Исполнитель обязан определить и согласовать с Заказчиком методологический подход к проведению доку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ментарного аудита СУОТ Заказчика на соответствие требованиям действующего законодательства в области ОТ, а также отраслевым нормативным актам, имеющим обязательную силу для Заказчика, аудита эффективности процедур в рамках СУОТ, Инспекционного аудита.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олнителю на всех этапах проведения аудита предоставляются необходимые для проведения и исполнения услуги информационные материалы, документированные процедуры, отчетные формы и иные сведения в соответствии с согласованным с Заказчиком порядком (скан-копии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и/или электронные формы).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Документарный аудит системы управления охраной труда (СУОТ) Заказчика на соответствие требованиям действующего законодательства в области охраны труда, а также отраслевым нормативным актам, имеющим обязательную силу для Заказ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чика в отношении объектов, указанных в Приложении № 1 к настоящему ТЗ:</w:t>
      </w:r>
    </w:p>
    <w:p w:rsidR="00676777" w:rsidRDefault="00676777">
      <w:pPr>
        <w:numPr>
          <w:ilvl w:val="0"/>
          <w:numId w:val="2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76777" w:rsidRDefault="00676777">
      <w:pPr>
        <w:numPr>
          <w:ilvl w:val="0"/>
          <w:numId w:val="2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76777" w:rsidRDefault="00676777">
      <w:pPr>
        <w:numPr>
          <w:ilvl w:val="1"/>
          <w:numId w:val="2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действующей СУОТ Заказчика как модели бизнес-процесса с позиции эффективности функционирования и ее совместимости с другими системами управления, действующими в организации;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 действующей СУОТ Заказчика на соответствие требованиям законодательства РФ и иным принятым организацией стандартов;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 действующих в организации локальных нормативных актов в области охраны труда на соответствие требованиям законодательства РФ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СУОТ;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системы управления документацией в рамках СУОТ.</w:t>
      </w:r>
    </w:p>
    <w:p w:rsidR="00676777" w:rsidRDefault="004C403A">
      <w:pPr>
        <w:numPr>
          <w:ilvl w:val="1"/>
          <w:numId w:val="2"/>
        </w:num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 эффективности процедур в рамках СУОТ: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провести первичный анализ и оценку действующих внутренних (локальных) процедур по управлению в области ОТ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Заказчиком с учетом границ, определенных в программе аудита. В рамках аудита эффективности процедур необходимо провести: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подготовки работников по охране труда;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организации и проведения оценки условий труда;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процедуры управления профессиональными рисками;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управления производственного контроля за соблюдением санитарных правил и выполнением санитарно-эпидемиологических (профилактических) мероприятий;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организации и проведения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по охране труда руководителей и специалистов;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организации и проведения предварительных и периодических медицинских осмотров работников;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организации и проведения наблюдения за состоянием здоровья работников;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676777" w:rsidRDefault="004C403A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обеспечения оптимальных режимов труда и отдыха работников;</w:t>
      </w:r>
    </w:p>
    <w:p w:rsidR="00676777" w:rsidRDefault="004C403A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оцедуры обеспечения работников средствами индивидуальной и коллективной защиты, смывающими и обезвреживающими средствами;</w:t>
      </w:r>
    </w:p>
    <w:p w:rsidR="00676777" w:rsidRDefault="004C403A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процедуры обеспечения работников молоком и другими равноценными пищевыми продуктами, лечебно-профилактическим питанием;</w:t>
      </w:r>
    </w:p>
    <w:p w:rsidR="00676777" w:rsidRDefault="004C403A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оцедуры обеспечения безопасного выполнения подрядных работ;</w:t>
      </w:r>
    </w:p>
    <w:p w:rsidR="00676777" w:rsidRDefault="004C403A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порядка расследования несчастных случаев, инцидентов и случаев производственного травматизма;</w:t>
      </w:r>
    </w:p>
    <w:p w:rsidR="00676777" w:rsidRDefault="004C403A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иных процедур в рамках СУОТ, действующих у Заказчика.</w:t>
      </w:r>
    </w:p>
    <w:p w:rsidR="00676777" w:rsidRDefault="004C403A">
      <w:pPr>
        <w:numPr>
          <w:ilvl w:val="1"/>
          <w:numId w:val="2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Инспекционный аудит: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Выездное обследование объектов Заказчика (рабочих мест, рабочих зон, помещений общего пользования), определенных в программе Аудита в соответствии с Приложением № 1 к ТЗ, с сопровождением уполномоченных представителей Заказчика с целью аудита соответствия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требованиям действующего законодательства об охране труда,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 действующей СУОТ Заказчика.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обязан провести натурные обследования структурных подразделений Заказчика для оценки функционирования СУОТ Заказчика с учетом действующих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требований, а также отраслевых нормативных актов, имеющих обязательную силу для Заказчика.</w:t>
      </w:r>
    </w:p>
    <w:p w:rsidR="00676777" w:rsidRDefault="004C403A">
      <w:pPr>
        <w:spacing w:after="0" w:line="240" w:lineRule="auto"/>
        <w:contextualSpacing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Инспекционный аудит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в себя: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степени реализации положений действующей СУОТ Заказчика;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выборочный анализ технической документации (паспортов,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по эксплуатации, сертификатов) на используемые оборудование, сырье, вспомогательные средства, химические вещества, результатов специальной оценки условий труда, производственного контроля, оценки рисков и иных средств мониторинга состояния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труда и производственной безопасности;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осмотр рабочих мест, рабочих зон, помещений общего пользования, опасных производственных объектов на соответствие требованиям законодательства РФ и локальных нормативных актов;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рабочих мест,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зон, помещений общего пользования, опасных производственных объектов на наличие предупредительной информации по безопасности (табличек, знаков, размещение памяток и пр.);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компетенций персонала, выполняющего работы на рабочих местах и опасных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зводственных объектах, включая его обучение, прохождение стажировок, инструктажей;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технологическим процессом и поведением персонала в течение проведения рабочих операций в штатном режиме на предмет соблюдения требований действующего законодат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об охране труда, а также положений действующей СУОТ Заказчика;</w:t>
      </w:r>
    </w:p>
    <w:p w:rsidR="00676777" w:rsidRDefault="004C403A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персонала на знание требований в области охраны труда, алгоритма действий при нештатных ситуациях и степени вовлеченности в СУОТ.</w:t>
      </w:r>
    </w:p>
    <w:p w:rsidR="00676777" w:rsidRDefault="004C403A">
      <w:pPr>
        <w:numPr>
          <w:ilvl w:val="1"/>
          <w:numId w:val="2"/>
        </w:num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сводного отчета по проведению аудита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оказания услуг Исполнитель обязан составить письменный отчет о состоянии СУОТ на соответствие требованиям действующего законодательства в области охраны труда, а также отраслевым нормативным актам, имеющим обязательную силу для Заказчика.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Сводный письменный отчет о состоянии СУОТ на соответствие требованиям действующего законодательства в области охраны труда, а также отраслевым нормативным актам, имеющим обязательную силу для Заказчика, должен включать в себя (но не ограничиваясь):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выявленных несоответствий с подробным описанием каждого выявленного несоответствия и приложением соответствующих фотографий, сделанных в рамках инспекционного этапа аудита;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рекомендуемые мероприятия по устранению выявленных несоответствий с опис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конкретных механизмов и действий, направленных на улучшение;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выводы о состоянии действующей СУОТ Заказчика с анализом слабых и сильных сторон.</w:t>
      </w:r>
    </w:p>
    <w:p w:rsidR="00676777" w:rsidRDefault="004C403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 передается Заказчику в электронном виде на USB флэш-накопителе и в бумажном виде в 1 экземпля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в сброшюрованном виде (формат листа А4). </w:t>
      </w:r>
    </w:p>
    <w:p w:rsidR="00676777" w:rsidRDefault="004C403A">
      <w:pPr>
        <w:numPr>
          <w:ilvl w:val="1"/>
          <w:numId w:val="2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совещания с уполномоченными представителями Заказчика по результатам аудита: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итогового совещания с уполномоченными представителями Заказчика по результатам аудита Исполнитель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следующую информацию: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аудита и приоритетные рекомендации по улучшению ситуации в области ОТ;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обсуждение сильных сторон СУОТ и Заказчика, а также сфер, требующих усиления и внимания со стороны высшего руководства и руководства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охраны труда;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основных проблем в области ОТ и необходимых шагов для их решения;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обзор инструментария, используемого для повышения безопасности на производстве (аудиты безопасности, определение коренных причин происшествий, оценка 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другие);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факторов, влияющих на поведение персонала на рабочих местах и роли руководства предприятия в формировании культуры производственной безопасности;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возможные пути интеграция управления безопасностью в систему бизнес-процессов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мпании;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ключевых факторов успеха и роли высшего руководства в программе повышения безопасности.</w:t>
      </w:r>
    </w:p>
    <w:p w:rsidR="00676777" w:rsidRDefault="00676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К ПОРЯДКУ ОКАЗАНИЯ УСЛУГ</w:t>
      </w:r>
    </w:p>
    <w:p w:rsidR="00676777" w:rsidRDefault="004C403A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качеству оказываемых услуг</w:t>
      </w:r>
    </w:p>
    <w:p w:rsidR="00676777" w:rsidRDefault="004C4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 оказанных услуг должен соответствовать требованиям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ствующего законодательства в области охраны труда, отраслевых нормативных актов, имеющим обязательную силу для Заказчика,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учитывать требования следующих нормативно-правовых актов, но не ограничиваясь: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Федерации;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закон от 28.12.2013 г. № 426-ФЗ «О специальной оценке условий труда»;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от 24.12.2021 г. N 2464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порядке обучения по охране труда и проверки знания требований охраны труда»;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29.10.2021 г. N 767н «Об утверждении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Единых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типовых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норм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смывающих </w:t>
      </w:r>
      <w:r>
        <w:rPr>
          <w:rStyle w:val="match"/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20.04.2022 г. 223н "Об утверждении Положения об особенностях рассл</w:t>
      </w:r>
      <w:r>
        <w:rPr>
          <w:rFonts w:ascii="Times New Roman" w:hAnsi="Times New Roman" w:cs="Times New Roman"/>
          <w:sz w:val="24"/>
          <w:szCs w:val="24"/>
        </w:rPr>
        <w:t>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Министерства труда и социальной защиты </w:t>
      </w:r>
      <w:r>
        <w:rPr>
          <w:rFonts w:ascii="Times New Roman" w:hAnsi="Times New Roman" w:cs="Times New Roman"/>
          <w:color w:val="000000" w:themeColor="text1"/>
        </w:rPr>
        <w:t xml:space="preserve">от </w:t>
      </w:r>
      <w:r>
        <w:rPr>
          <w:rFonts w:ascii="Times New Roman" w:hAnsi="Times New Roman" w:cs="Times New Roman"/>
          <w:color w:val="000000" w:themeColor="text1"/>
        </w:rPr>
        <w:t>29.10.2021 г. N 776н «Об утверждении Примерного положения о системе управления охраной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777" w:rsidRDefault="004C403A">
      <w:pPr>
        <w:numPr>
          <w:ilvl w:val="2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здравоохранения РФ </w:t>
      </w:r>
      <w:r>
        <w:rPr>
          <w:rFonts w:ascii="Times New Roman" w:hAnsi="Times New Roman" w:cs="Times New Roman"/>
          <w:sz w:val="24"/>
          <w:szCs w:val="24"/>
        </w:rPr>
        <w:t xml:space="preserve">от 28.01.2021 г. N 29н «Об утверждении Порядка проведения обязательных предварительных и периодических медицинских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работников, предусмотренных частью четвертой статьи 213 Трудового кодекса Российской Федерации, </w:t>
      </w:r>
      <w:hyperlink r:id="rId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76777" w:rsidRDefault="004C403A">
      <w:pPr>
        <w:numPr>
          <w:ilvl w:val="2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12.0.230-2007 «Система стандартов безопасности труда. Системы управления охраной труда. Общие требования».</w:t>
      </w:r>
    </w:p>
    <w:p w:rsidR="00676777" w:rsidRDefault="004C403A">
      <w:pPr>
        <w:tabs>
          <w:tab w:val="left" w:pos="284"/>
          <w:tab w:val="left" w:pos="85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случае внесения изменений в нормативные акты, перечисленные в п. 6.1. настоящего Технического задания, и/или их отмены Исполнитель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руководствоваться законодательством, действующим на дату, не ранее 2 (двух) календарных месяцев до даты сдачи-приемки услуги.</w:t>
      </w:r>
    </w:p>
    <w:p w:rsidR="00676777" w:rsidRDefault="004C403A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услуг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Оказание услуг должно осуществляться в рабочее время с 9-00 до 16-00 часов и в рабочие дни (понедельник,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среда, четверг, пятница), кроме нерабочих праздничных дней. Услуги должны быть оказаны в течении 90 (девяносто) календарных дней, с даты подписания договора.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Требования к безопасности: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Требования к конфиденциальности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 обязуется как в течение всего срока действия Договора, так и в течение десяти лет по окончании его действия ни при каких обстоятельствах не разглашать информацию, составляющую коммерческую тайну, и соглашается обеспечить меры для защиты конфиденци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 информации. Информация, составляющая коммерческую тайну, доводится до сведения только тех сотрудников Сторон, которые непосредственно участвуют в оказании услуг.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Информация, составляющая коммерческую тайну, может быть раскрыта Исполнителем на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законного требования государственного органа или по решению суда. При этом Исполнитель, раскрывая информацию, составляющую коммерческую тайну, незамедлительно письменно уведомляет Заказчика о факте получения требования о предоставлении данной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ации.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Требования по приемке услуг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в течении 3 (трех) рабочих дней с даты завершения оказания услуг направляет на электронный адрес ответственного лица Заказчика электронную версию итоговой документации, в соответствии с п. 6.6. ТЗ;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обязан ознакомиться с электронной версией итоговой документации в течение 5 (пяти) рабочих дней, начиная со дня, после получения. По результатам рассмотрения электронной версии Заказчик направляет на электронный адрес ответственного лица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полнителя подтверждение согласования электронной версии итоговой документации либо письменный мотивированный отказ в приемке услуг с перечнем недостатков и требованием об их устранении;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6.5.3. Исполнитель безвозмездно исправляет по требованию Заказчика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недостатки оказанных услуг в течение 10 (десяти) рабочих дней с момента получения от Заказчика соответствующего требования, если иной срок не согласован Сторонами дополнительно;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Электронная версия итоговой документации считается согласов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с момента получения Исполнителем подтверждения согласования от Заказчика в соответствии с п. 6.5.2. ТЗ, а также, если в течение 5 (пяти) рабочих дней со дня направления Заказчику электронной версии итоговой документации им не направлен в сторону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лнителя мотивированный отказ в приемке услуг с перечнем недостатков и требованием об их устранении;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6.5.5. После устранения недостатков, выявленных Заказчиком (при наличии), Исполнитель передает Заказчику итоговую документацию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6.6 ТЗ вместе с 2 (двумя) экземплярами Актов сдачи-приемки оказанных услуг и счетами на оплату;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в течение 5 (пяти) рабочих дней после получения Акта сдачи-приемки оказанных услуг и итоговой документации должен ознакомиться с переданными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материалами и подписать Акт сдачи-приемки оказанных услуг, либо предъявить Исполнителю мотивированный отказ в письменном виде;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6.5.7. Если в установленные п. 6.5.7 ТЗ сроки Акт сдачи-приемки оказанных услуг Заказчиком не подписан и мотивирова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отказ от его подписания в адрес Исполнителя Заказчиком не представлен, услуга считается оказанной и принятой в полном объеме.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6.6. Требования по передаче заказчику закупки технических и иных документов (оформление результатов оказанных услуг)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подтверждает результат оказанных услуг предоставлением следующей документации:</w:t>
      </w:r>
    </w:p>
    <w:p w:rsidR="00676777" w:rsidRDefault="004C40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отчет о состоянии СУОТ на соответствие требованиям действующего законодательства в области охраны труда, а также отраслевым нормативным актам, имеющим обязательну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силу для Заказчика, выполненный в соответствии с п. 5.4. ТЗ в электронном виде на USB флэш-накопителе и в бумажном виде в 1 (одном) экземпляре в сброшюрованном виде (формат листа А4).</w:t>
      </w:r>
    </w:p>
    <w:p w:rsidR="00676777" w:rsidRDefault="006767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777" w:rsidRDefault="004C403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ГАРАНТИЙНЫМ ОБЯЗАТЕЛЬСТВАМ ОКАЗЫВАЕМЫХ УСЛУГ</w:t>
      </w:r>
    </w:p>
    <w:p w:rsidR="00676777" w:rsidRDefault="004C40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несет ответственность за качество оказываемой услуги в соответствии с действующим законодательством.</w:t>
      </w:r>
    </w:p>
    <w:p w:rsidR="00676777" w:rsidRDefault="00676777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6777" w:rsidRDefault="004C403A">
      <w:pPr>
        <w:numPr>
          <w:ilvl w:val="0"/>
          <w:numId w:val="4"/>
        </w:num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ТРЕБОВАНИЯ</w:t>
      </w:r>
    </w:p>
    <w:p w:rsidR="00676777" w:rsidRDefault="004C403A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должен обладать специальной правоспособностью в соответствии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 с осуществлением видов деятельности, предусмотренных Техническим заданием в объеме выполняемых услуг.</w:t>
      </w:r>
    </w:p>
    <w:p w:rsidR="00676777" w:rsidRDefault="004C403A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услуг в соответствии с настоящим ТЗ Исполнитель должен сформировать аудиторскую группу, общей численностью не менее 3 (трех)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л., из которых: </w:t>
      </w:r>
    </w:p>
    <w:p w:rsidR="00676777" w:rsidRDefault="004C403A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 (двух) человек, прошедшим обучение по оценке рисков и стажем работы не менее 3 (трех) лет в области охраны труда;</w:t>
      </w:r>
    </w:p>
    <w:p w:rsidR="00676777" w:rsidRDefault="004C403A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1 (одного) человека, являющегося сертифицированным экспертом, по специальной оценке, условий труда,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ккредитованным Минтруда РФ.</w:t>
      </w:r>
    </w:p>
    <w:p w:rsidR="00676777" w:rsidRDefault="0067677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76777" w:rsidRDefault="004C40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676777" w:rsidRDefault="004C40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к Техническому заданию</w:t>
      </w:r>
    </w:p>
    <w:p w:rsidR="00676777" w:rsidRDefault="006767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6777" w:rsidRDefault="004C4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ОБЪЕКТОВ, ПОДЛЕЖАЩИХ АУДИТУ</w:t>
      </w:r>
    </w:p>
    <w:p w:rsidR="00676777" w:rsidRDefault="006767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425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759"/>
        <w:gridCol w:w="2949"/>
        <w:gridCol w:w="2494"/>
        <w:gridCol w:w="1643"/>
        <w:gridCol w:w="1580"/>
      </w:tblGrid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Адрес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Количество рабочих мест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Количество сотрудников</w:t>
            </w:r>
          </w:p>
        </w:tc>
      </w:tr>
      <w:tr w:rsidR="00676777">
        <w:tc>
          <w:tcPr>
            <w:tcW w:w="6202" w:type="dxa"/>
            <w:gridSpan w:val="3"/>
          </w:tcPr>
          <w:p w:rsidR="00676777" w:rsidRDefault="00676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1643" w:type="dxa"/>
          </w:tcPr>
          <w:p w:rsidR="00676777" w:rsidRDefault="00676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1580" w:type="dxa"/>
          </w:tcPr>
          <w:p w:rsidR="00676777" w:rsidRDefault="00676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Федоровка (Производственный корпус)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Челябинск, ул. Блюхера, д.211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250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800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Федоровка (Складские комплексы)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г. Челябинск, ул. Блюхера, д.211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160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Федоровка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Энергоцентр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г. Челябинск, ул. Блюхера, д.211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23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Федоровка (Автотранспортный участок)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г. Челябинск, ул. Блюхера,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д.211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val="en-US" w:eastAsia="ru-RU"/>
              </w:rPr>
              <w:t>43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80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Перант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 (Производственный комплекс)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г. Челябинск,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Копейское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 шоссе д.48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160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Красногорск (ККЗ)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Челябинска область, п. Красногорск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225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Красногорск (Элеватор)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Челябинска область, п. Красногорск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65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СП Красногорск (Цех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убоя)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Челябинска область, п. Красногорск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val="en-US" w:eastAsia="ru-RU"/>
              </w:rPr>
              <w:t>47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239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Красногорск (Автотранспортный и тракторный парк)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Челябинска область, п. Красногорск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val="en-US" w:eastAsia="ru-RU"/>
              </w:rPr>
              <w:t>58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117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СП Красногорск (Животноводческий комплекс)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Челябинска область, п. Красногорск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228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Торговый дом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(Фирменная сеть)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г. Челябинск, ул. Блюхера, д.211,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Торговый дом (Фирменная сеть)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г. Челябинск, Троицкий тракт, 49 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Торговый дом (Фирменная сеть)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г. Челябинск, 250-летия Челябинска, 23б 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12</w:t>
            </w:r>
          </w:p>
        </w:tc>
      </w:tr>
      <w:tr w:rsidR="00676777">
        <w:tc>
          <w:tcPr>
            <w:tcW w:w="759" w:type="dxa"/>
          </w:tcPr>
          <w:p w:rsidR="00676777" w:rsidRDefault="004C403A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949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Торговый дом (Фирменная сеть)</w:t>
            </w: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 xml:space="preserve">г. Челябинск, 40 лет Победы, 5 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12</w:t>
            </w:r>
          </w:p>
        </w:tc>
      </w:tr>
      <w:tr w:rsidR="00676777">
        <w:tc>
          <w:tcPr>
            <w:tcW w:w="759" w:type="dxa"/>
          </w:tcPr>
          <w:p w:rsidR="00676777" w:rsidRDefault="00676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2949" w:type="dxa"/>
          </w:tcPr>
          <w:p w:rsidR="00676777" w:rsidRDefault="00676777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2494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643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811</w:t>
            </w:r>
          </w:p>
        </w:tc>
        <w:tc>
          <w:tcPr>
            <w:tcW w:w="1580" w:type="dxa"/>
          </w:tcPr>
          <w:p w:rsidR="00676777" w:rsidRDefault="004C403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2141</w:t>
            </w:r>
          </w:p>
        </w:tc>
      </w:tr>
    </w:tbl>
    <w:p w:rsidR="00676777" w:rsidRDefault="004C403A">
      <w:pPr>
        <w:spacing w:after="0" w:line="240" w:lineRule="auto"/>
        <w:jc w:val="center"/>
      </w:pPr>
      <w:r>
        <w:t>________________________________</w:t>
      </w:r>
    </w:p>
    <w:sectPr w:rsidR="00676777">
      <w:footerReference w:type="default" r:id="rId9"/>
      <w:pgSz w:w="11906" w:h="16838"/>
      <w:pgMar w:top="709" w:right="850" w:bottom="170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3A" w:rsidRDefault="004C403A">
      <w:pPr>
        <w:spacing w:after="0" w:line="240" w:lineRule="auto"/>
      </w:pPr>
      <w:r>
        <w:separator/>
      </w:r>
    </w:p>
  </w:endnote>
  <w:endnote w:type="continuationSeparator" w:id="0">
    <w:p w:rsidR="004C403A" w:rsidRDefault="004C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77" w:rsidRDefault="00676777">
    <w:pPr>
      <w:pStyle w:val="a6"/>
    </w:pPr>
  </w:p>
  <w:p w:rsidR="00676777" w:rsidRDefault="00676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3A" w:rsidRDefault="004C403A">
      <w:pPr>
        <w:spacing w:after="0" w:line="240" w:lineRule="auto"/>
      </w:pPr>
      <w:r>
        <w:separator/>
      </w:r>
    </w:p>
  </w:footnote>
  <w:footnote w:type="continuationSeparator" w:id="0">
    <w:p w:rsidR="004C403A" w:rsidRDefault="004C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806"/>
    <w:multiLevelType w:val="multilevel"/>
    <w:tmpl w:val="D952D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E92D44"/>
    <w:multiLevelType w:val="multilevel"/>
    <w:tmpl w:val="69D6BB66"/>
    <w:lvl w:ilvl="0">
      <w:start w:val="6"/>
      <w:numFmt w:val="decimal"/>
      <w:lvlText w:val="%1"/>
      <w:lvlJc w:val="left"/>
      <w:pPr>
        <w:tabs>
          <w:tab w:val="num" w:pos="0"/>
        </w:tabs>
        <w:ind w:left="405" w:hanging="405"/>
      </w:pPr>
      <w:rPr>
        <w:u w:val="singl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00" w:hanging="72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6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120" w:hanging="108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160" w:hanging="144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840" w:hanging="144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880" w:hanging="180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560" w:hanging="180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600" w:hanging="2160"/>
      </w:pPr>
      <w:rPr>
        <w:u w:val="single"/>
      </w:rPr>
    </w:lvl>
  </w:abstractNum>
  <w:abstractNum w:abstractNumId="2" w15:restartNumberingAfterBreak="0">
    <w:nsid w:val="34F7153B"/>
    <w:multiLevelType w:val="multilevel"/>
    <w:tmpl w:val="7AD24B3C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 w15:restartNumberingAfterBreak="0">
    <w:nsid w:val="628B4710"/>
    <w:multiLevelType w:val="multilevel"/>
    <w:tmpl w:val="012A22C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3A3FB6"/>
    <w:multiLevelType w:val="multilevel"/>
    <w:tmpl w:val="F2CAAFD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77"/>
    <w:rsid w:val="004C403A"/>
    <w:rsid w:val="0052291E"/>
    <w:rsid w:val="00676777"/>
    <w:rsid w:val="008D3D49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C5F0"/>
  <w15:docId w15:val="{2BDC5D29-F5EB-44A1-8E87-38C891A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322D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7386D"/>
  </w:style>
  <w:style w:type="character" w:customStyle="1" w:styleId="a5">
    <w:name w:val="Нижний колонтитул Знак"/>
    <w:basedOn w:val="a0"/>
    <w:link w:val="a6"/>
    <w:uiPriority w:val="99"/>
    <w:qFormat/>
    <w:rsid w:val="0097386D"/>
  </w:style>
  <w:style w:type="character" w:customStyle="1" w:styleId="-">
    <w:name w:val="Интернет-ссылка"/>
    <w:basedOn w:val="a0"/>
    <w:semiHidden/>
    <w:unhideWhenUsed/>
    <w:rsid w:val="004C7E93"/>
    <w:rPr>
      <w:color w:val="0066CC"/>
      <w:u w:val="single"/>
    </w:rPr>
  </w:style>
  <w:style w:type="character" w:styleId="a7">
    <w:name w:val="Strong"/>
    <w:basedOn w:val="a0"/>
    <w:uiPriority w:val="22"/>
    <w:qFormat/>
    <w:rsid w:val="004C7E93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17EC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basedOn w:val="a0"/>
    <w:link w:val="ab"/>
    <w:uiPriority w:val="34"/>
    <w:qFormat/>
    <w:locked/>
    <w:rsid w:val="001E79EF"/>
  </w:style>
  <w:style w:type="character" w:customStyle="1" w:styleId="ac">
    <w:name w:val="Текст Знак"/>
    <w:basedOn w:val="a0"/>
    <w:link w:val="ad"/>
    <w:uiPriority w:val="99"/>
    <w:semiHidden/>
    <w:qFormat/>
    <w:rsid w:val="007A3B27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qFormat/>
    <w:rsid w:val="005322D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1">
    <w:name w:val="Основной текст1"/>
    <w:basedOn w:val="a0"/>
    <w:qFormat/>
    <w:rsid w:val="006B2D1E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qFormat/>
    <w:rsid w:val="00256BC6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rsid w:val="00256BC6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rsid w:val="00256BC6"/>
    <w:rPr>
      <w:b/>
      <w:bCs/>
      <w:sz w:val="20"/>
      <w:szCs w:val="20"/>
    </w:rPr>
  </w:style>
  <w:style w:type="character" w:customStyle="1" w:styleId="af3">
    <w:name w:val="Заголовок Знак"/>
    <w:basedOn w:val="a0"/>
    <w:link w:val="af4"/>
    <w:qFormat/>
    <w:rsid w:val="00D16B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match">
    <w:name w:val="match"/>
    <w:basedOn w:val="a0"/>
    <w:qFormat/>
    <w:rsid w:val="00FE081C"/>
  </w:style>
  <w:style w:type="paragraph" w:styleId="af4">
    <w:name w:val="Title"/>
    <w:basedOn w:val="a"/>
    <w:next w:val="af5"/>
    <w:link w:val="af3"/>
    <w:qFormat/>
    <w:rsid w:val="00D16BC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7386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7386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link w:val="aa"/>
    <w:uiPriority w:val="34"/>
    <w:qFormat/>
    <w:rsid w:val="0057452C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qFormat/>
    <w:rsid w:val="00C204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5317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c"/>
    <w:uiPriority w:val="99"/>
    <w:semiHidden/>
    <w:unhideWhenUsed/>
    <w:qFormat/>
    <w:rsid w:val="007A3B27"/>
    <w:pPr>
      <w:spacing w:after="0" w:line="240" w:lineRule="auto"/>
    </w:pPr>
    <w:rPr>
      <w:rFonts w:ascii="Calibri" w:hAnsi="Calibri"/>
      <w:szCs w:val="21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56BC6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256BC6"/>
    <w:rPr>
      <w:b/>
      <w:bCs/>
    </w:rPr>
  </w:style>
  <w:style w:type="paragraph" w:customStyle="1" w:styleId="ConsPlusNormal">
    <w:name w:val="ConsPlusNormal"/>
    <w:qFormat/>
    <w:rsid w:val="00A300D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FE0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BA46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D170D7"/>
    <w:pPr>
      <w:widowControl w:val="0"/>
      <w:spacing w:after="0" w:line="41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59"/>
    <w:rsid w:val="0053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9026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473070&amp;mark=000000000000000000000000000000000000000000000000007E40KE&amp;mark=000000000000000000000000000000000000000000000000007E40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C93D-84F3-4ADF-B987-03637EA6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Атаханова Ирина Анатольевна</dc:creator>
  <dc:description/>
  <cp:lastModifiedBy>RePack by Diakov</cp:lastModifiedBy>
  <cp:revision>3</cp:revision>
  <cp:lastPrinted>2024-10-18T08:28:00Z</cp:lastPrinted>
  <dcterms:created xsi:type="dcterms:W3CDTF">2024-12-04T11:18:00Z</dcterms:created>
  <dcterms:modified xsi:type="dcterms:W3CDTF">2024-12-04T11:39:00Z</dcterms:modified>
  <dc:language>ru-RU</dc:language>
</cp:coreProperties>
</file>