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85" w:rsidRDefault="004F6E85" w:rsidP="004F6E85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Внесены изменения в раздел 22 Извещения в пункт:</w:t>
      </w:r>
    </w:p>
    <w:p w:rsidR="004F6E85" w:rsidRDefault="004F6E85" w:rsidP="004F6E85">
      <w:pPr>
        <w:spacing w:after="0" w:line="25" w:lineRule="atLeast"/>
        <w:ind w:right="-6"/>
        <w:jc w:val="both"/>
        <w:rPr>
          <w:sz w:val="20"/>
          <w:szCs w:val="20"/>
        </w:rPr>
      </w:pPr>
      <w:bookmarkStart w:id="0" w:name="_GoBack"/>
      <w:bookmarkEnd w:id="0"/>
    </w:p>
    <w:p w:rsidR="004F6E85" w:rsidRDefault="004F6E85" w:rsidP="004F6E85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Документы (их копии), подтверждающие соответствие участника закупки требованиям установленным законодательством к лицам, осуществляющим оказание услуг (членство в СРО, наличие лицензий и т.п.):</w:t>
      </w:r>
    </w:p>
    <w:p w:rsidR="004F6E85" w:rsidRDefault="004F6E85" w:rsidP="004F6E85">
      <w:pPr>
        <w:widowControl/>
        <w:shd w:val="clear" w:color="auto" w:fill="FFFFFF"/>
        <w:spacing w:after="0" w:line="240" w:lineRule="auto"/>
        <w:jc w:val="both"/>
        <w:textAlignment w:val="auto"/>
        <w:rPr>
          <w:rFonts w:cs="Times New Roman"/>
          <w:color w:val="5B9BD5" w:themeColor="accent1"/>
          <w:sz w:val="20"/>
          <w:szCs w:val="20"/>
          <w:shd w:val="clear" w:color="auto" w:fill="FFFFFF"/>
        </w:rPr>
      </w:pPr>
      <w:r w:rsidRPr="00C12776">
        <w:rPr>
          <w:rFonts w:cs="Times New Roman"/>
          <w:color w:val="5B9BD5" w:themeColor="accent1"/>
          <w:sz w:val="20"/>
          <w:szCs w:val="20"/>
          <w:shd w:val="clear" w:color="auto" w:fill="FFFFFF"/>
        </w:rPr>
        <w:t>действующая лицензия МЧС РФ на производство работ по монтажу, ремонту и обслуживанию средств обеспечения пожарной безопасности зданий и соо</w:t>
      </w:r>
      <w:r>
        <w:rPr>
          <w:rFonts w:cs="Times New Roman"/>
          <w:color w:val="5B9BD5" w:themeColor="accent1"/>
          <w:sz w:val="20"/>
          <w:szCs w:val="20"/>
          <w:shd w:val="clear" w:color="auto" w:fill="FFFFFF"/>
        </w:rPr>
        <w:t xml:space="preserve">ружений с видами деятельности: </w:t>
      </w:r>
    </w:p>
    <w:p w:rsidR="004F6E85" w:rsidRPr="00C12776" w:rsidRDefault="004F6E85" w:rsidP="004F6E85">
      <w:pPr>
        <w:widowControl/>
        <w:shd w:val="clear" w:color="auto" w:fill="FFFFFF"/>
        <w:spacing w:after="0" w:line="240" w:lineRule="auto"/>
        <w:jc w:val="both"/>
        <w:textAlignment w:val="auto"/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</w:pPr>
      <w:r w:rsidRPr="00C12776"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  <w:t>1. Монтаж, техническое обслуживание и ремонт систем пожаротушения и их элементов, включая диспетчеризацию и проведение пусконаладочных работ.</w:t>
      </w:r>
    </w:p>
    <w:p w:rsidR="004F6E85" w:rsidRPr="00C12776" w:rsidRDefault="004F6E85" w:rsidP="004F6E85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</w:pPr>
      <w:r w:rsidRPr="00C12776"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  <w:t>2.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</w:r>
    </w:p>
    <w:p w:rsidR="004F6E85" w:rsidRPr="00C12776" w:rsidRDefault="004F6E85" w:rsidP="004F6E85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</w:pPr>
      <w:r w:rsidRPr="00C12776"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  <w:t>3. 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работ.</w:t>
      </w:r>
    </w:p>
    <w:p w:rsidR="004F6E85" w:rsidRPr="00C12776" w:rsidRDefault="004F6E85" w:rsidP="004F6E85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</w:pPr>
      <w:r w:rsidRPr="00C12776"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  <w:t>4.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работ.</w:t>
      </w:r>
    </w:p>
    <w:p w:rsidR="004F6E85" w:rsidRPr="00C12776" w:rsidRDefault="004F6E85" w:rsidP="004F6E85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</w:pPr>
      <w:r w:rsidRPr="00C12776">
        <w:rPr>
          <w:rFonts w:eastAsia="Times New Roman" w:cs="Times New Roman"/>
          <w:color w:val="5B9BD5" w:themeColor="accent1"/>
          <w:sz w:val="20"/>
          <w:szCs w:val="20"/>
          <w:lang w:eastAsia="ru-RU" w:bidi="ar-SA"/>
        </w:rPr>
        <w:t>5. Монтаж, техническое обслуживание и ремонт заполнений проемов в противопожарных преградах.</w:t>
      </w:r>
    </w:p>
    <w:p w:rsidR="004F6E85" w:rsidRPr="008D585C" w:rsidRDefault="004F6E85" w:rsidP="004F6E85">
      <w:pPr>
        <w:spacing w:after="0" w:line="25" w:lineRule="atLeast"/>
        <w:ind w:right="-6"/>
        <w:jc w:val="both"/>
        <w:rPr>
          <w:rFonts w:cs="Times New Roman"/>
          <w:i/>
          <w:color w:val="5B9BD5" w:themeColor="accent1"/>
          <w:sz w:val="20"/>
          <w:szCs w:val="20"/>
          <w:shd w:val="clear" w:color="auto" w:fill="FFFF00"/>
        </w:rPr>
      </w:pPr>
      <w:r w:rsidRPr="00C12776">
        <w:rPr>
          <w:rFonts w:cs="Times New Roman"/>
          <w:color w:val="5B9BD5" w:themeColor="accent1"/>
          <w:sz w:val="20"/>
          <w:szCs w:val="20"/>
          <w:shd w:val="clear" w:color="auto" w:fill="FFFFFF"/>
        </w:rPr>
        <w:t>Участнику достаточно предоставить</w:t>
      </w:r>
      <w:r w:rsidRPr="00C12776">
        <w:rPr>
          <w:rFonts w:cs="Times New Roman"/>
          <w:i/>
          <w:color w:val="5B9BD5" w:themeColor="accent1"/>
          <w:sz w:val="20"/>
          <w:szCs w:val="20"/>
          <w:shd w:val="clear" w:color="auto" w:fill="FFFFFF"/>
        </w:rPr>
        <w:t xml:space="preserve"> </w:t>
      </w:r>
      <w:r w:rsidRPr="008D585C">
        <w:rPr>
          <w:rFonts w:cs="Times New Roman"/>
          <w:i/>
          <w:color w:val="5B9BD5" w:themeColor="accent1"/>
          <w:sz w:val="20"/>
          <w:szCs w:val="20"/>
          <w:shd w:val="clear" w:color="auto" w:fill="FFFFFF"/>
        </w:rPr>
        <w:t>реквизиты лицензии (регистрационный номер и дату ее предоставления)</w:t>
      </w:r>
      <w:r w:rsidRPr="008D585C">
        <w:rPr>
          <w:rFonts w:cs="Times New Roman"/>
          <w:i/>
          <w:color w:val="5B9BD5" w:themeColor="accent1"/>
          <w:sz w:val="20"/>
          <w:szCs w:val="20"/>
        </w:rPr>
        <w:t>;</w:t>
      </w:r>
    </w:p>
    <w:p w:rsidR="00F7179C" w:rsidRDefault="00F7179C"/>
    <w:sectPr w:rsidR="00F7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85"/>
    <w:rsid w:val="004F6E85"/>
    <w:rsid w:val="00F7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4485"/>
  <w15:chartTrackingRefBased/>
  <w15:docId w15:val="{732AED79-EC2E-4747-BB07-A90870CC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85"/>
    <w:pPr>
      <w:widowControl w:val="0"/>
      <w:suppressAutoHyphens/>
      <w:spacing w:line="252" w:lineRule="auto"/>
      <w:textAlignment w:val="baseline"/>
    </w:pPr>
    <w:rPr>
      <w:rFonts w:ascii="Times New Roman" w:eastAsia="SimSun;宋体" w:hAnsi="Times New Roman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2024-12-26T04:56:00Z</dcterms:created>
  <dcterms:modified xsi:type="dcterms:W3CDTF">2024-12-26T04:57:00Z</dcterms:modified>
</cp:coreProperties>
</file>