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3BCB0" w14:textId="77777777" w:rsidR="00D84E03" w:rsidRPr="00254793" w:rsidRDefault="00254793">
      <w:p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</w:t>
      </w:r>
    </w:p>
    <w:p w14:paraId="6F7AA505" w14:textId="77777777" w:rsidR="00D84E03" w:rsidRPr="00254793" w:rsidRDefault="00254793">
      <w:pPr>
        <w:spacing w:line="240" w:lineRule="auto"/>
        <w:ind w:left="-5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на поставку товара </w:t>
      </w:r>
      <w:permStart w:id="1039888906" w:edGrp="everyone"/>
      <w:r w:rsidRPr="00254793">
        <w:rPr>
          <w:rFonts w:ascii="Times New Roman" w:eastAsia="Times New Roman" w:hAnsi="Times New Roman" w:cs="Times New Roman"/>
          <w:sz w:val="20"/>
          <w:szCs w:val="20"/>
        </w:rPr>
        <w:t>№_____________</w:t>
      </w:r>
      <w:permEnd w:id="1039888906"/>
    </w:p>
    <w:p w14:paraId="4F199F09" w14:textId="77777777" w:rsidR="00D84E03" w:rsidRPr="00254793" w:rsidRDefault="00D84E03">
      <w:pPr>
        <w:spacing w:line="240" w:lineRule="auto"/>
        <w:ind w:left="-5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F6FD9A" w14:textId="1571F5A3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54793">
        <w:rPr>
          <w:rFonts w:ascii="Times New Roman" w:eastAsia="Times New Roman" w:hAnsi="Times New Roman" w:cs="Times New Roman"/>
          <w:sz w:val="20"/>
          <w:szCs w:val="20"/>
        </w:rPr>
        <w:t>г.Челябинск</w:t>
      </w:r>
      <w:proofErr w:type="spellEnd"/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__ ________________.202</w:t>
      </w:r>
      <w:r w:rsidR="006537CA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14:paraId="6DD3D1EC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2293E6C" w14:textId="77777777" w:rsidR="00D84E03" w:rsidRPr="00254793" w:rsidRDefault="00254793">
      <w:pPr>
        <w:rPr>
          <w:rFonts w:ascii="Times New Roman" w:hAnsi="Times New Roman" w:cs="Times New Roman"/>
          <w:sz w:val="20"/>
          <w:szCs w:val="20"/>
        </w:rPr>
      </w:pPr>
      <w:permStart w:id="604249710" w:edGrp="everyone"/>
      <w:r w:rsidRPr="00254793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proofErr w:type="gramStart"/>
      <w:r w:rsidRPr="0025479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254793">
        <w:rPr>
          <w:rFonts w:ascii="Times New Roman" w:hAnsi="Times New Roman" w:cs="Times New Roman"/>
          <w:sz w:val="20"/>
          <w:szCs w:val="20"/>
        </w:rPr>
        <w:t xml:space="preserve">___________________________________), именуемое в дальнейшем </w:t>
      </w:r>
      <w:r w:rsidRPr="00254793">
        <w:rPr>
          <w:rFonts w:ascii="Times New Roman" w:hAnsi="Times New Roman" w:cs="Times New Roman"/>
          <w:b/>
          <w:bCs/>
          <w:sz w:val="20"/>
          <w:szCs w:val="20"/>
        </w:rPr>
        <w:t>«Поставщик»</w:t>
      </w:r>
      <w:r w:rsidRPr="00254793">
        <w:rPr>
          <w:rFonts w:ascii="Times New Roman" w:hAnsi="Times New Roman" w:cs="Times New Roman"/>
          <w:sz w:val="20"/>
          <w:szCs w:val="20"/>
        </w:rPr>
        <w:t xml:space="preserve">, в лице ________________________________________________________, действующего на основании ________________________, с одной стороны, </w:t>
      </w:r>
      <w:permEnd w:id="604249710"/>
      <w:r w:rsidRPr="00254793">
        <w:rPr>
          <w:rFonts w:ascii="Times New Roman" w:hAnsi="Times New Roman" w:cs="Times New Roman"/>
          <w:sz w:val="20"/>
          <w:szCs w:val="20"/>
        </w:rPr>
        <w:t xml:space="preserve">и </w:t>
      </w:r>
    </w:p>
    <w:p w14:paraId="334CA075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bCs/>
          <w:sz w:val="20"/>
          <w:szCs w:val="20"/>
        </w:rPr>
        <w:t>Общество с ограниченной ответственностью «Агрофирма Ариант» (ООО «Агрофирма Ариант»)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</w:t>
      </w:r>
      <w:r w:rsidRPr="00254793">
        <w:rPr>
          <w:rFonts w:ascii="Times New Roman" w:eastAsia="Times New Roman" w:hAnsi="Times New Roman" w:cs="Times New Roman"/>
          <w:b/>
          <w:bCs/>
          <w:sz w:val="20"/>
          <w:szCs w:val="20"/>
        </w:rPr>
        <w:t>«Покупатель»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, в лице Управляющего директора Зайнуллина Рината Мударисовича, действующего на основании доверенности от 29.05.2024г., удостоверенной Владимировым Иваном Ивановичем, временно исполняющим обязанности нотариуса города Москвы Камаловой Юлии Хамитовны (зарегистрирована в реестре: №77/1955-н/77-2024-8-532), с другой стороны, совместно именуемые «Стороны», а по отдельности – «Сторона», на основании </w:t>
      </w:r>
      <w:permStart w:id="1717515326" w:edGrp="everyone"/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протокола _________ от «___» ______ _____ 2024 г.№ _______, </w:t>
      </w:r>
      <w:permEnd w:id="1717515326"/>
      <w:r w:rsidRPr="00254793">
        <w:rPr>
          <w:rFonts w:ascii="Times New Roman" w:eastAsia="Times New Roman" w:hAnsi="Times New Roman" w:cs="Times New Roman"/>
          <w:sz w:val="20"/>
          <w:szCs w:val="20"/>
        </w:rPr>
        <w:t>с соблюдением требований Федерального закона от 18 июля 2011 года № 223-ФЗ «О закупках товаров, работ, услуг отдельными видами юридических лиц» (далее – Федеральный закон № 223-ФЗ), заключили настоящий договор о нижеследующем:</w:t>
      </w:r>
    </w:p>
    <w:p w14:paraId="1DB47FA6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91C04C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Предмет договора</w:t>
      </w:r>
    </w:p>
    <w:p w14:paraId="628AF7E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1.1. По настоящему договору Поставщик обязуется передать в собственность Покупателя товар, а Покупатель обязуется принять и оплатить Товар в порядке и на условиях, установленных настоящим Договором, следующий Товар:</w:t>
      </w:r>
    </w:p>
    <w:p w14:paraId="08554006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auto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782"/>
        <w:gridCol w:w="4099"/>
        <w:gridCol w:w="990"/>
        <w:gridCol w:w="848"/>
        <w:gridCol w:w="2402"/>
        <w:gridCol w:w="991"/>
      </w:tblGrid>
      <w:tr w:rsidR="00254793" w:rsidRPr="00254793" w14:paraId="0A260265" w14:textId="77777777" w:rsidTr="00254793">
        <w:trPr>
          <w:trHeight w:val="23"/>
        </w:trPr>
        <w:tc>
          <w:tcPr>
            <w:tcW w:w="784" w:type="dxa"/>
            <w:shd w:val="clear" w:color="auto" w:fill="FFFFFF"/>
            <w:tcMar>
              <w:left w:w="-5" w:type="dxa"/>
            </w:tcMar>
            <w:vAlign w:val="center"/>
          </w:tcPr>
          <w:p w14:paraId="4985D742" w14:textId="77777777" w:rsidR="00254793" w:rsidRPr="00254793" w:rsidRDefault="00254793">
            <w:pPr>
              <w:ind w:right="-17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ermStart w:id="592122180" w:edGrp="everyone"/>
            <w:r w:rsidRPr="00254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№ п/п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14:paraId="2E9FD7D8" w14:textId="77777777" w:rsidR="00254793" w:rsidRPr="00254793" w:rsidRDefault="00254793" w:rsidP="00653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Товара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  <w:vAlign w:val="center"/>
          </w:tcPr>
          <w:p w14:paraId="45283D47" w14:textId="77777777" w:rsidR="00254793" w:rsidRPr="00254793" w:rsidRDefault="00254793" w:rsidP="006537CA">
            <w:pPr>
              <w:ind w:left="-128"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  <w:vAlign w:val="center"/>
          </w:tcPr>
          <w:p w14:paraId="33C3B565" w14:textId="77777777" w:rsidR="00254793" w:rsidRPr="00254793" w:rsidRDefault="00254793" w:rsidP="006537CA">
            <w:pPr>
              <w:ind w:left="-426" w:right="-39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14:paraId="7612AD0B" w14:textId="77777777" w:rsidR="00254793" w:rsidRPr="00254793" w:rsidRDefault="00254793" w:rsidP="00653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Цена единицы Товара в т.ч. НДС, руб.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  <w:vAlign w:val="center"/>
          </w:tcPr>
          <w:p w14:paraId="45857888" w14:textId="77777777" w:rsidR="00254793" w:rsidRPr="00254793" w:rsidRDefault="00254793" w:rsidP="00653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НДС %</w:t>
            </w:r>
          </w:p>
        </w:tc>
      </w:tr>
      <w:tr w:rsidR="00254793" w:rsidRPr="00254793" w14:paraId="288DF10D" w14:textId="77777777" w:rsidTr="00254793">
        <w:trPr>
          <w:trHeight w:val="23"/>
        </w:trPr>
        <w:tc>
          <w:tcPr>
            <w:tcW w:w="784" w:type="dxa"/>
            <w:shd w:val="clear" w:color="auto" w:fill="FFFFFF"/>
            <w:tcMar>
              <w:left w:w="-5" w:type="dxa"/>
            </w:tcMar>
          </w:tcPr>
          <w:p w14:paraId="6F368154" w14:textId="77777777" w:rsidR="00254793" w:rsidRPr="00254793" w:rsidRDefault="00254793">
            <w:pPr>
              <w:spacing w:line="240" w:lineRule="auto"/>
              <w:ind w:right="-5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14:paraId="190C6CE7" w14:textId="45F14840" w:rsidR="00254793" w:rsidRPr="00254793" w:rsidRDefault="0025479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0CBA974A" w14:textId="77777777" w:rsidR="00254793" w:rsidRPr="00254793" w:rsidRDefault="00254793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6D4A9C4A" w14:textId="77777777" w:rsidR="00254793" w:rsidRPr="00254793" w:rsidRDefault="00254793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14:paraId="625ABBBE" w14:textId="77777777" w:rsidR="00254793" w:rsidRPr="00254793" w:rsidRDefault="00254793">
            <w:pPr>
              <w:spacing w:line="240" w:lineRule="auto"/>
              <w:ind w:left="57" w:firstLine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14:paraId="4DE1416A" w14:textId="77777777" w:rsidR="00254793" w:rsidRPr="00254793" w:rsidRDefault="00254793">
            <w:pPr>
              <w:spacing w:line="240" w:lineRule="auto"/>
              <w:ind w:left="57" w:firstLine="28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254793" w:rsidRPr="00254793" w14:paraId="7C02BD15" w14:textId="77777777" w:rsidTr="00254793">
        <w:trPr>
          <w:trHeight w:val="23"/>
        </w:trPr>
        <w:tc>
          <w:tcPr>
            <w:tcW w:w="784" w:type="dxa"/>
            <w:shd w:val="clear" w:color="auto" w:fill="FFFFFF"/>
            <w:tcMar>
              <w:left w:w="-5" w:type="dxa"/>
            </w:tcMar>
          </w:tcPr>
          <w:p w14:paraId="5842EDA4" w14:textId="101CD20E" w:rsidR="00254793" w:rsidRPr="00254793" w:rsidRDefault="00254793">
            <w:pPr>
              <w:spacing w:line="240" w:lineRule="auto"/>
              <w:ind w:right="-51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14:paraId="1AA38333" w14:textId="77777777" w:rsidR="00254793" w:rsidRPr="00254793" w:rsidRDefault="0025479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0DECEE1B" w14:textId="77777777" w:rsidR="00254793" w:rsidRPr="00254793" w:rsidRDefault="00254793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55774C96" w14:textId="77777777" w:rsidR="00254793" w:rsidRPr="00254793" w:rsidRDefault="00254793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14:paraId="5CC1FAF8" w14:textId="77777777" w:rsidR="00254793" w:rsidRPr="00254793" w:rsidRDefault="00254793">
            <w:pPr>
              <w:spacing w:line="240" w:lineRule="auto"/>
              <w:ind w:left="57" w:firstLine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14:paraId="18C5EC30" w14:textId="77777777" w:rsidR="00254793" w:rsidRPr="00254793" w:rsidRDefault="00254793">
            <w:pPr>
              <w:spacing w:line="240" w:lineRule="auto"/>
              <w:ind w:left="57" w:firstLine="28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254793" w:rsidRPr="00254793" w14:paraId="4A8FFF72" w14:textId="77777777" w:rsidTr="00254793">
        <w:trPr>
          <w:trHeight w:val="23"/>
        </w:trPr>
        <w:tc>
          <w:tcPr>
            <w:tcW w:w="784" w:type="dxa"/>
            <w:shd w:val="clear" w:color="auto" w:fill="FFFFFF"/>
            <w:tcMar>
              <w:left w:w="-5" w:type="dxa"/>
            </w:tcMar>
          </w:tcPr>
          <w:p w14:paraId="68654BB3" w14:textId="77777777" w:rsidR="00254793" w:rsidRPr="00254793" w:rsidRDefault="00254793">
            <w:pPr>
              <w:ind w:left="-426" w:firstLine="28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14:paraId="1115F2EA" w14:textId="77777777" w:rsidR="00254793" w:rsidRPr="00254793" w:rsidRDefault="00254793">
            <w:pPr>
              <w:ind w:left="125" w:hanging="1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ИТОГО: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214A92B" w14:textId="77777777" w:rsidR="00254793" w:rsidRPr="00254793" w:rsidRDefault="00254793">
            <w:pPr>
              <w:ind w:left="-426" w:firstLine="28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3DAA85E7" w14:textId="77777777" w:rsidR="00254793" w:rsidRPr="00254793" w:rsidRDefault="00254793">
            <w:pPr>
              <w:ind w:left="-426" w:firstLine="28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14:paraId="51DFB9FF" w14:textId="77777777" w:rsidR="00254793" w:rsidRPr="00254793" w:rsidRDefault="00254793">
            <w:pPr>
              <w:ind w:left="-426" w:firstLine="28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14:paraId="0EEF45A1" w14:textId="77777777" w:rsidR="00254793" w:rsidRPr="00254793" w:rsidRDefault="00254793">
            <w:pPr>
              <w:ind w:left="-426" w:firstLine="28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ermEnd w:id="592122180"/>
    <w:p w14:paraId="04653614" w14:textId="34F213E0" w:rsidR="00C12292" w:rsidRPr="00254793" w:rsidRDefault="00C12292" w:rsidP="00C12292">
      <w:pPr>
        <w:pStyle w:val="ab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4793">
        <w:rPr>
          <w:rFonts w:ascii="Times New Roman" w:hAnsi="Times New Roman" w:cs="Times New Roman"/>
          <w:sz w:val="20"/>
          <w:szCs w:val="20"/>
        </w:rPr>
        <w:t>Фиксированный объем поставляемого Товара не определен. Фактический объем поставляемого Товара будет определяться в соответствии с потребностью Покупателя.</w:t>
      </w:r>
      <w:r w:rsidRPr="0025479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11478764" w14:textId="7C4BD632" w:rsidR="00D84E03" w:rsidRPr="00254793" w:rsidRDefault="00254793" w:rsidP="00C12292">
      <w:pPr>
        <w:pStyle w:val="ab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4793">
        <w:rPr>
          <w:rFonts w:ascii="Times New Roman" w:hAnsi="Times New Roman" w:cs="Times New Roman"/>
          <w:sz w:val="20"/>
          <w:szCs w:val="20"/>
        </w:rPr>
        <w:t xml:space="preserve">1.2. </w:t>
      </w:r>
      <w:r w:rsidR="00C12292" w:rsidRPr="00254793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Pr="00254793">
        <w:rPr>
          <w:rFonts w:ascii="Times New Roman" w:hAnsi="Times New Roman" w:cs="Times New Roman"/>
          <w:sz w:val="20"/>
          <w:szCs w:val="20"/>
        </w:rPr>
        <w:t>тороны допускают толеранс поставки (допустимое отклонение) в пределах +10% от согласованного сторонами объема поставки, указанного в пункте 1.1 Договора и не требует заключения отдельного дополнительного соглашения. Фактический объем поставляемого Товара указывается в УПД. Данное отступление от условий настоящего договора не расценивается Сторонами как нарушение обязательств со стороны Поставщика. При этом установленное отклонение в сторону увеличения оплачивается по цене, определенной для Товара в настоящем пункте</w:t>
      </w:r>
    </w:p>
    <w:p w14:paraId="0021CC0B" w14:textId="77777777" w:rsidR="00D84E03" w:rsidRPr="00254793" w:rsidRDefault="00254793">
      <w:pPr>
        <w:pStyle w:val="ab"/>
        <w:widowControl w:val="0"/>
        <w:numPr>
          <w:ilvl w:val="1"/>
          <w:numId w:val="2"/>
        </w:numPr>
        <w:ind w:left="0" w:firstLine="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254793">
        <w:rPr>
          <w:rFonts w:ascii="Times New Roman" w:hAnsi="Times New Roman" w:cs="Times New Roman"/>
          <w:color w:val="000000"/>
          <w:sz w:val="20"/>
          <w:szCs w:val="20"/>
        </w:rPr>
        <w:t xml:space="preserve">1.3. Поставка товара осуществляется автомобильным транспортом на условиях доставки товара до склада Покупателя по адресу: Челябинская обл., Еманжелинский район, пос. Красногорский, промышленная площадка «Красногорский комбикормовый завод», силами и за счет Поставщика. </w:t>
      </w:r>
    </w:p>
    <w:p w14:paraId="2B9D64C4" w14:textId="6E2426B3" w:rsidR="00D84E03" w:rsidRPr="00076249" w:rsidRDefault="00254793">
      <w:pPr>
        <w:pStyle w:val="ab"/>
        <w:widowControl w:val="0"/>
        <w:numPr>
          <w:ilvl w:val="1"/>
          <w:numId w:val="2"/>
        </w:numPr>
        <w:ind w:left="0" w:firstLine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5479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076249">
        <w:rPr>
          <w:rFonts w:ascii="Times New Roman" w:hAnsi="Times New Roman" w:cs="Times New Roman"/>
          <w:sz w:val="20"/>
          <w:szCs w:val="20"/>
        </w:rPr>
        <w:t xml:space="preserve">1.4. </w:t>
      </w:r>
      <w:r w:rsidRPr="00076249">
        <w:rPr>
          <w:rFonts w:ascii="Times New Roman" w:hAnsi="Times New Roman" w:cs="Times New Roman"/>
          <w:color w:val="000000"/>
          <w:sz w:val="20"/>
          <w:szCs w:val="20"/>
        </w:rPr>
        <w:t>Срок поставки:</w:t>
      </w:r>
      <w:r w:rsidR="00076249" w:rsidRPr="000762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 момента заключения договора и</w:t>
      </w:r>
      <w:r w:rsidRPr="00076249">
        <w:rPr>
          <w:rFonts w:ascii="Times New Roman" w:hAnsi="Times New Roman" w:cs="Times New Roman"/>
          <w:color w:val="000000"/>
          <w:sz w:val="20"/>
          <w:szCs w:val="20"/>
        </w:rPr>
        <w:t xml:space="preserve"> до </w:t>
      </w:r>
      <w:r w:rsidR="00C12292" w:rsidRPr="00076249">
        <w:rPr>
          <w:rFonts w:ascii="Times New Roman" w:hAnsi="Times New Roman" w:cs="Times New Roman"/>
          <w:color w:val="000000"/>
          <w:sz w:val="20"/>
          <w:szCs w:val="20"/>
          <w:lang w:val="ru-RU"/>
        </w:rPr>
        <w:t>01.04.2025 г</w:t>
      </w:r>
      <w:r w:rsidRPr="0007624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321A16C" w14:textId="77777777" w:rsidR="00076249" w:rsidRDefault="00076249" w:rsidP="00076249">
      <w:pPr>
        <w:pStyle w:val="ab"/>
        <w:widowControl w:val="0"/>
        <w:numPr>
          <w:ilvl w:val="1"/>
          <w:numId w:val="2"/>
        </w:numPr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7624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Поставка товара осуществляется на основании заявок, направленных с электронного адреса с доменом @afariant.ru</w:t>
      </w:r>
    </w:p>
    <w:p w14:paraId="5715AE4F" w14:textId="3E7F7E23" w:rsidR="00076249" w:rsidRPr="00076249" w:rsidRDefault="00076249" w:rsidP="00076249">
      <w:pPr>
        <w:pStyle w:val="ab"/>
        <w:widowControl w:val="0"/>
        <w:numPr>
          <w:ilvl w:val="1"/>
          <w:numId w:val="2"/>
        </w:numPr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7624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электронную почту Поставщика</w:t>
      </w:r>
      <w:permStart w:id="1142521095" w:edGrp="everyone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</w:t>
      </w:r>
      <w:r w:rsidRPr="000762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ermEnd w:id="1142521095"/>
      <w:r w:rsidRPr="0007624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 поставки определяется в заявке.</w:t>
      </w:r>
    </w:p>
    <w:p w14:paraId="502F7178" w14:textId="77777777" w:rsidR="00D84E03" w:rsidRPr="00254793" w:rsidRDefault="00254793">
      <w:pPr>
        <w:pStyle w:val="ab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54793">
        <w:rPr>
          <w:rFonts w:ascii="Times New Roman" w:hAnsi="Times New Roman" w:cs="Times New Roman"/>
          <w:sz w:val="20"/>
          <w:szCs w:val="20"/>
        </w:rPr>
        <w:t xml:space="preserve">1.5. Грузоотправитель: </w:t>
      </w:r>
      <w:permStart w:id="1460826722" w:edGrp="everyone"/>
      <w:r w:rsidRPr="00254793">
        <w:rPr>
          <w:rFonts w:ascii="Times New Roman" w:hAnsi="Times New Roman" w:cs="Times New Roman"/>
          <w:sz w:val="20"/>
          <w:szCs w:val="20"/>
        </w:rPr>
        <w:t>__________________</w:t>
      </w:r>
      <w:permEnd w:id="1460826722"/>
    </w:p>
    <w:p w14:paraId="4720EEA5" w14:textId="77777777" w:rsidR="00D84E03" w:rsidRPr="00254793" w:rsidRDefault="00254793">
      <w:pPr>
        <w:pStyle w:val="ab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1.6. Страна производитель: </w:t>
      </w:r>
      <w:permStart w:id="1975413479" w:edGrp="everyone"/>
      <w:r w:rsidRPr="00254793">
        <w:rPr>
          <w:rFonts w:ascii="Times New Roman" w:eastAsia="Times New Roman" w:hAnsi="Times New Roman" w:cs="Times New Roman"/>
          <w:sz w:val="20"/>
          <w:szCs w:val="20"/>
        </w:rPr>
        <w:t>_______________</w:t>
      </w:r>
      <w:permEnd w:id="1975413479"/>
    </w:p>
    <w:p w14:paraId="557018EA" w14:textId="4C6C36EB" w:rsidR="00D84E03" w:rsidRPr="00254793" w:rsidRDefault="00254793" w:rsidP="00C12292">
      <w:pPr>
        <w:widowControl w:val="0"/>
        <w:jc w:val="both"/>
        <w:textAlignment w:val="baseline"/>
        <w:rPr>
          <w:rFonts w:ascii="Times New Roman" w:hAnsi="Times New Roman" w:cs="Times New Roman"/>
          <w:sz w:val="20"/>
          <w:szCs w:val="20"/>
          <w:lang w:eastAsia="ar-SA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1.7. Качество поставляемого товара соответствует </w:t>
      </w:r>
      <w:r w:rsidR="00C12292" w:rsidRPr="00254793">
        <w:rPr>
          <w:rFonts w:ascii="Times New Roman" w:hAnsi="Times New Roman" w:cs="Times New Roman"/>
          <w:sz w:val="20"/>
          <w:szCs w:val="20"/>
          <w:lang w:eastAsia="ar-SA"/>
        </w:rPr>
        <w:t>ГОСТ 52325-2005</w:t>
      </w:r>
      <w:r w:rsidR="00C12292"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и (или) требованиям, указанным в настоящем договоре.  </w:t>
      </w:r>
    </w:p>
    <w:p w14:paraId="4878B534" w14:textId="77777777" w:rsidR="00D84E03" w:rsidRPr="00254793" w:rsidRDefault="00254793">
      <w:pPr>
        <w:pStyle w:val="ab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547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CC70D1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Порядок и условия поставки товара</w:t>
      </w:r>
    </w:p>
    <w:p w14:paraId="1310F578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2.1. Поставка товара осуществляется партиями, автотранспортом. Под партией товара понимается товар, поставленный по одной или несколькими транспортными накладными. Поставка товара осуществляется силами и за счет Поставщика на склад Покупателя. </w:t>
      </w:r>
    </w:p>
    <w:p w14:paraId="0CA5B385" w14:textId="515A7092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2.</w:t>
      </w:r>
      <w:r w:rsidR="004A2064" w:rsidRPr="00254793">
        <w:rPr>
          <w:rFonts w:ascii="Times New Roman" w:eastAsia="Times New Roman" w:hAnsi="Times New Roman" w:cs="Times New Roman"/>
          <w:sz w:val="20"/>
          <w:szCs w:val="20"/>
        </w:rPr>
        <w:t>2. Товар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 поставляется россыпью. Товар при поставке должен быть защищен от воздействия пыли, грязи, погодных условий. Поставка товара осуществляется автотранспортом Поставщика. Транспорт должен быть подготовлен к перевозке товара.</w:t>
      </w:r>
    </w:p>
    <w:p w14:paraId="4BE4AE43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Товар должен быть ввезен из благоприятной по эпизоотической ситуации территории субъектов, не имеющей ограничительных мероприятий (карантина), в соответствии с законом РФ от 14.05.1993 №4979-1 (ред. от 01.09.2024г.) «О ветеринарии». </w:t>
      </w:r>
    </w:p>
    <w:p w14:paraId="1EFE1BFB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2.3.  </w:t>
      </w: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ереход риска случайной гибели, утраты товара переходит с момента прибытия товара на склад Покупателя. </w:t>
      </w:r>
    </w:p>
    <w:p w14:paraId="15842548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lastRenderedPageBreak/>
        <w:t>2.4. Датой поставки и переход права собственности на товар осуществляется с момента принятия товара Покупателем, что подтверждается подписанием УПД</w:t>
      </w: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Покупателем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996FE5F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2.5. Приемка товара, поставленного посредством автомобиля, осуществляется в следующем порядке:</w:t>
      </w:r>
    </w:p>
    <w:p w14:paraId="601AFD17" w14:textId="77777777" w:rsidR="00C12292" w:rsidRPr="00254793" w:rsidRDefault="00254793" w:rsidP="00C122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2.5.1. </w:t>
      </w:r>
      <w:r w:rsidR="00C12292"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Приемка товара по количеству производится в день доставки товара на склад Покупателя. Покупатель взвешивает на автомобильных поверенных весах транспорт с товаром до его разгрузки (определяет вес брутто) и взвешивает транспорт после разгрузки (определяет вес тары). Результаты взвешивания указываются в товарной накладной (товарно-транспортной накладной) на товар, которая подписывается лицами, участвующими в приемке товара и лицом, доставившим сырье.</w:t>
      </w:r>
    </w:p>
    <w:p w14:paraId="066C5006" w14:textId="77777777" w:rsidR="00C12292" w:rsidRPr="00254793" w:rsidRDefault="00C12292" w:rsidP="00C122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При этом, Стороны пришли к соглашению, что указанное Покупателем количество товара в товарной накладной (товарно-транспортной накладной) к партии поставленного товара при приемке будет являться обязательным и окончательным для сторон при выставлении корректировочных документов.</w:t>
      </w:r>
    </w:p>
    <w:p w14:paraId="0446A28B" w14:textId="77777777" w:rsidR="00C12292" w:rsidRPr="00254793" w:rsidRDefault="00C12292" w:rsidP="00C122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2.5.2. Приемка товара по качеству производится в лаборатории Покупателя. Покупателем производится отбор проб, отобранные в установленном порядке, хранятся у Покупателя в течение 3-х суток.</w:t>
      </w:r>
    </w:p>
    <w:p w14:paraId="24D64FFE" w14:textId="77777777" w:rsidR="00C12292" w:rsidRPr="00254793" w:rsidRDefault="00C12292" w:rsidP="00C122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 выявлении в ходе приемки несоответствия качества принимаемого товара требованиям ГОСТов и/или заказу на поставку партия не принимается. В этом случае Покупателем составляется «Протокол лабораторных испытаний» с указанием причин возврата партии. Протокол испытаний составляется в 3-х экземплярах (два экземпляра для Покупателя, один экземпляр для Поставщика) один экземпляр направляется Поставщику на электронную почту, указанную в Приложении. </w:t>
      </w:r>
    </w:p>
    <w:p w14:paraId="4CC77E2B" w14:textId="77777777" w:rsidR="00C12292" w:rsidRPr="00254793" w:rsidRDefault="00C12292" w:rsidP="00C122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 разногласиях в оценке качества товара Стороны проводят повторный анализ отобранной пробы в присутствии Поставщика или его представителя. </w:t>
      </w:r>
    </w:p>
    <w:p w14:paraId="1C40089F" w14:textId="77777777" w:rsidR="00C12292" w:rsidRPr="00254793" w:rsidRDefault="00C12292" w:rsidP="00C122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Результаты приемки (качественные показатели, размеры натуральных и денежных скидок) указываются в реестре, который Поставщик обязуется получить у Покупателя в течение трех рабочих дней с момента сдачи товара, по адресу приемки товара, указанному в заказе поставщику либо направляется ему Покупателем по указанному в приложении электронному адресу. </w:t>
      </w:r>
    </w:p>
    <w:p w14:paraId="5F977CCC" w14:textId="77777777" w:rsidR="00C12292" w:rsidRPr="00254793" w:rsidRDefault="00C12292" w:rsidP="00C122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случае неполучения Поставщиком реестра, результаты приемки (качественные показатели товара, размеры натуральных и денежных скидок) считаются согласованными. Если в течение трех дней с момента получения реестра Поставщик не заявит своих возражений, результаты приемки считаются согласованными. При наличии возражений Поставщика по показателям качества товара, указанным в реестре, в лаборатории Покупателя проводится повторный анализ проб, хранящихся у Покупателя, в присутствии Поставщика. </w:t>
      </w:r>
    </w:p>
    <w:p w14:paraId="0FE38682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Порядок оплаты товара и ведения документооборота</w:t>
      </w:r>
    </w:p>
    <w:p w14:paraId="26ABDE81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hAnsi="Times New Roman" w:cs="Times New Roman"/>
          <w:sz w:val="20"/>
          <w:szCs w:val="20"/>
        </w:rPr>
      </w:pPr>
    </w:p>
    <w:p w14:paraId="2A83B3F6" w14:textId="500D70B6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3.</w:t>
      </w:r>
      <w:proofErr w:type="gramStart"/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1.Стороны</w:t>
      </w:r>
      <w:proofErr w:type="gramEnd"/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настоящим определили, что цена Договора, в течение срока его действия, </w:t>
      </w:r>
      <w:r w:rsidR="006537C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составляет</w:t>
      </w: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ermStart w:id="2111903514" w:edGrp="everyone"/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___________ (__________________________________________) рублей____________ коп., НДС ________________</w:t>
      </w:r>
      <w:permEnd w:id="2111903514"/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 определяется стоимостью фактически поставленного в течение срока действия Договора товара на основании подписанных Сторонами товарных/товарно-транспортных накладных (или УПД) по всем поставкам в течение срока (периода) поставки. Поставщик обязан поставлять Товар по ценам, указанным в п. 1.1. </w:t>
      </w:r>
    </w:p>
    <w:p w14:paraId="199BA795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 случае изменения НДС в силу изменения законодательства, цена договора не подлежит изменению. Все расходы и налоги входят в цену Договора.</w:t>
      </w:r>
    </w:p>
    <w:p w14:paraId="0378AFFC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3.2.Оплата за Товар осуществляется Покупателем с отсрочкой платежа. Для субъектов малого и среднего бизнеса отсрочка платежа составляет 7 (семь) рабочих дней с момента перехода права собственности, для остальных субъектов - 30 (тридцать) календарных дней с момента перехода права собственности.</w:t>
      </w:r>
    </w:p>
    <w:p w14:paraId="48041A82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3.3. Оригиналы счетов-фактур (при оформлении товарной накладной по форме ТОРГ-12) должны быть оформлены в соответствии с действующим законодательством и предоставлены Поставщиком в бухгалтерию Покупателя по почтовому адресу: 456592, Челябинская область, Еманжелинский район, п. Красногорский, а/я 149 не позднее 5 (пяти) дней, с даты доставки Товара, либо по системе электронного документооборота (ЭДО). Допускается оформление одного счета-фактуры на отгрузку товара по нескольким накладным или актам, но не позднее чем на пятый день со дня оформления первой накладной или акта. При непрерывных и долгосрочных поставках допускается оформление одного счета-фактуры по всем поставкам за месяц не позднее пятого числа следующего месяца.</w:t>
      </w:r>
    </w:p>
    <w:p w14:paraId="6079BD66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Предъявляемые бухгалтерские документы должны содержать все обязательные реквизиты первичного учетного документа, предусмотренные п 2 ст. 9 Закона «О бухгалтерском учете» № 402-ФЗ от 06.12.2011г. (с последующими изменениями и дополнениями).</w:t>
      </w:r>
    </w:p>
    <w:p w14:paraId="3963D988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 платежных поручениях на оплату должны указываться номер и дата договора, дополнительного соглашения, номер и дата счета и иные реквизиты, необходимые в соответствии с требованиями, предъявляемыми к заполнению платежных поручений.</w:t>
      </w:r>
    </w:p>
    <w:p w14:paraId="469D0A53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Поставщик обязан исправить ненадлежащим образом оформленный документ и направить в адрес Покупателя исправленный документ в течение двух рабочих дней со дня получения соответствующего требования Покупателя (в том числе путем направления требования на электронную почту Поставщика).</w:t>
      </w:r>
    </w:p>
    <w:p w14:paraId="11A1FCC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При невыполнении Поставщиком данного обязательства, неотфактурованное товара принимается Покупателем на ответственное хранение с составлением соответствующего Акта о приемке товара. В этом случае Покупатель имеет право удержать из стоимости поставленного товара стоимость его ответственного хранения из расчета 3 рубля 00 </w:t>
      </w: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копеек за ответ. хранение 1 тонны товара в день. Покупатель не обязан уведомлять Поставщика о принятии неотфактурованного товара на ответственное хранение.</w:t>
      </w:r>
    </w:p>
    <w:p w14:paraId="0E6B23FB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3.4. Моментом оплаты по настоящему договору стороны договорились считать дату зачисления денежных средств на корреспондентский счет банка Поставщика.</w:t>
      </w:r>
    </w:p>
    <w:p w14:paraId="3F5004D0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D574FA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Обязанности сторон</w:t>
      </w:r>
    </w:p>
    <w:p w14:paraId="46F59DB8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4.1. Поставщик обязуется поставить товар отвечающим требованиям нормативных документов, в том числе:</w:t>
      </w:r>
    </w:p>
    <w:p w14:paraId="703FFD81" w14:textId="61ED36DF" w:rsidR="004A2064" w:rsidRPr="00254793" w:rsidRDefault="004A206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Качество товара должно соответствовать требованиям нормативных документов: ГОСТ 22391-2015 «Подсолнечник. Технические условия» и требованиям технического регламента Таможенного союза ТР ТС 015/2011 «О безопасности зерна». Превышение ограничительных норм по всем показателям не допускается. </w:t>
      </w:r>
    </w:p>
    <w:p w14:paraId="29617A77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  <w:u w:val="single"/>
        </w:rPr>
        <w:t>В случае поставки семян подсолнечника:</w:t>
      </w:r>
      <w:r w:rsidRPr="00254793">
        <w:rPr>
          <w:sz w:val="20"/>
          <w:szCs w:val="20"/>
        </w:rPr>
        <w:t xml:space="preserve"> с показателями влажности, сорной примеси, масличной примеси, превышающими базисные нормы, установленные договором, а также в случае поставки товара с фактической масляничностью ниже базисного значения, установленного договором (см. п.1.2), Покупатель производит натуральные и денежные скидки.</w:t>
      </w:r>
    </w:p>
    <w:p w14:paraId="1BA3DD8E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Натуральные скидки от физического веса за каждый процент отклонения показателей качества товара от базисных показателей составляют: по влажности – 1 % от физического веса, по сорной примеси – 1 % от физического вес, по масличной примеси - 1% от физического веса и рассчитываются по формулам:</w:t>
      </w:r>
    </w:p>
    <w:p w14:paraId="78775E82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Натуральная скидка по влажности = физический вес товара * процент убыли в массе от снижения влажности;</w:t>
      </w:r>
    </w:p>
    <w:p w14:paraId="16719DD6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Натуральная скидка по сорной примеси = физический вес товара * процент убыли в массе от снижения сорной примеси;</w:t>
      </w:r>
    </w:p>
    <w:p w14:paraId="1FC0D0EB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Натуральная скидка по масличной примеси=физический вес товара * процент убыли в массе от снижения масличной примеси</w:t>
      </w:r>
    </w:p>
    <w:p w14:paraId="431B875C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При этом проценты убыли в массе рассчитываются по формулам:</w:t>
      </w:r>
    </w:p>
    <w:p w14:paraId="1224B2E9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Процент убыли в массе от снижения влажности = 100* (фактическая влажность товара,% – базисная влажность товара,%)/(100 – базисная влажность товара,%);</w:t>
      </w:r>
    </w:p>
    <w:p w14:paraId="24F049FF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Процент убыли в массе от снижения сорной примеси = (фактическая сорность товара,% – базисная сорность товара,%) * (100 – Процент убыли в массе от снижения влажности,%) /(100 – базисная сорность товара,%)</w:t>
      </w:r>
    </w:p>
    <w:p w14:paraId="31537BB4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Процент убыли в массе от снижения масличной примеси = (фактическая масличная примесь товара,% – базисная масличная примесь товара,%) * (100 – Процент убыли в массе от снижения влажности,%) /(100 – базисная масличная примесь товара,%)</w:t>
      </w:r>
    </w:p>
    <w:p w14:paraId="6ABD677A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Физический вес товара за минусом указанных выше натуральных скидок именуется Зачетным весом товара.</w:t>
      </w:r>
    </w:p>
    <w:p w14:paraId="7F37B145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 xml:space="preserve">Денежная скидка включают в себя: </w:t>
      </w:r>
    </w:p>
    <w:p w14:paraId="1698B13C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- денежную скидку по влажности;</w:t>
      </w:r>
    </w:p>
    <w:p w14:paraId="7AD4065D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- денежную скидку по сорной примеси;</w:t>
      </w:r>
    </w:p>
    <w:p w14:paraId="33050723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- денежную скидку по масличной примеси;</w:t>
      </w:r>
    </w:p>
    <w:p w14:paraId="62EF8C2D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- денежную скидку по масляничности</w:t>
      </w:r>
    </w:p>
    <w:p w14:paraId="1AE1789C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 xml:space="preserve">Денежные скидки рассчитываются исходя из стоимости сушки одной тонны товара _100_руб. за каждый процент отклонения по влажности ( при влажности товара включительно до 19 %) или 130 руб. за каждый процент отключения по влажности (при влажности товара свыше 19%) и стоимости подработки одной тонны товара 80 руб. за каждый процент отклонения по сортной примеси и 80 руб. за каждый процент отклонения по масличной примеси по следующим формулам: </w:t>
      </w:r>
    </w:p>
    <w:p w14:paraId="56DCBF7A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 xml:space="preserve">Денежная скидка по влажности = (фактическая влажность товара,% – базисная влажности товара,%)* физический вес товара, тн* стоимость сушки 1 тонны товара за каждый процент отклонения по влажности; </w:t>
      </w:r>
    </w:p>
    <w:p w14:paraId="6DAA9E1C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 xml:space="preserve">Денежная скидка по сортной примеси = (фактическая сортная примесь товара,% – базисная сортная примесь товара, %)* физический вес товара, тн* стоимость подработки 1 тонна товара за каждый процент отклонения по сортной примеси. </w:t>
      </w:r>
    </w:p>
    <w:p w14:paraId="45807C80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Денежная скидка по масличной примеси = (фактическая масличная примесь товара, % - базисная масличная примесь товара,%)* физический вес товара, тн* стоимость подработки 1 тонна товара за каждый процент отклонения по масличной примеси.</w:t>
      </w:r>
    </w:p>
    <w:p w14:paraId="6D351CBB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Расчет денежной скидки по масляничности производится в случае поставки товара с фактической масляничностью ниже базисного значения, установленного договором, из расчета два процента скидки от цены в зачетном весе за каждый процент отклонения по масляничности по следующей формуле:</w:t>
      </w:r>
    </w:p>
    <w:p w14:paraId="299C10CB" w14:textId="77777777" w:rsidR="004A2064" w:rsidRPr="00254793" w:rsidRDefault="004A2064" w:rsidP="004A2064">
      <w:pPr>
        <w:pStyle w:val="ad"/>
        <w:spacing w:before="0" w:beforeAutospacing="0" w:after="0" w:line="240" w:lineRule="auto"/>
        <w:jc w:val="both"/>
        <w:rPr>
          <w:sz w:val="20"/>
          <w:szCs w:val="20"/>
        </w:rPr>
      </w:pPr>
      <w:r w:rsidRPr="00254793">
        <w:rPr>
          <w:sz w:val="20"/>
          <w:szCs w:val="20"/>
        </w:rPr>
        <w:t>Денежная скидка по масляничности = 2* (базисная масляничности товара, % - фактическая масляничность товара, %) / 100* цена 1 тн товара в зачетном весе* зачетный вес товара.</w:t>
      </w:r>
    </w:p>
    <w:p w14:paraId="060BFB10" w14:textId="4327FDCA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4.2 Поставщик обязан вместе с товаром передать следующие документы:</w:t>
      </w:r>
    </w:p>
    <w:p w14:paraId="14AB479E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-  товарно-транспортная накладная (типовая межотраслевая форма № СП-31, утвержденная Постановлением Госкомстата России от 29 сентября 1997г.№ 68);</w:t>
      </w:r>
    </w:p>
    <w:p w14:paraId="09E731B9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- документ, удостоверяющий качество товара;</w:t>
      </w:r>
    </w:p>
    <w:p w14:paraId="056B37F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- ветеринарное свидетельство формы № 3, оформленное государственной ветеринарной службой соответствующего субъекта Российской Федерации на каждую машину, согласно приказу Минсельхоз России от 27 декабря 2016 г №589</w:t>
      </w:r>
    </w:p>
    <w:p w14:paraId="7D4EA338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lastRenderedPageBreak/>
        <w:t>- универсальный передаточный документ;</w:t>
      </w:r>
    </w:p>
    <w:p w14:paraId="4CD886CA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- накладная ТОРГ-12;</w:t>
      </w:r>
    </w:p>
    <w:p w14:paraId="29B7DF82" w14:textId="24399A49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- декларация о соответствии, </w:t>
      </w:r>
      <w:r w:rsidR="008D748F" w:rsidRPr="00254793">
        <w:rPr>
          <w:rFonts w:ascii="Times New Roman" w:eastAsia="Times New Roman" w:hAnsi="Times New Roman" w:cs="Times New Roman"/>
          <w:sz w:val="20"/>
          <w:szCs w:val="20"/>
        </w:rPr>
        <w:t>согласно требованиям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 Технического регламента Таможенного союза 015/2011 «О безопасности зерна»;</w:t>
      </w:r>
    </w:p>
    <w:p w14:paraId="0E0635D4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- карантинный сертификат предоставляется при ввозе зерна на территорию Челябинской области в случае если зона является карантинной, либо справку, что зона прохождения товара не является карантинной.</w:t>
      </w:r>
    </w:p>
    <w:p w14:paraId="1F4BB0F4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- Товаросопроводительный документ нa пaртию зернa  — СДИЗ. (В Федеральной государственной информационной системе прослеживаемости зерна).</w:t>
      </w:r>
    </w:p>
    <w:p w14:paraId="35D03730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Оформление ветеринарных сопроводительных документов на каждую партию каждой товарной позиции должно осуществляться в электронной форме с использованием федеральной государственной информационной системы в области ветеринарии ФГИС» Меркурий» в соответствии с приказом Минсельхоза России от 13.12.2022 г №862.</w:t>
      </w:r>
    </w:p>
    <w:p w14:paraId="0FE20F45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При отсутствии вышеуказанных документов Покупатель направляет Поставщику на электронную почту уведомление. Поставщик обязуется в течении 2-х часов предоставить документы на электронную почту Покупателю, и в течении 3-х рабочих дней  направить оригиналы Покупателю. В случае не предоставления в срок указанных документов на электронную почту, Покупатель вправе отказаться от приемки товара.</w:t>
      </w:r>
    </w:p>
    <w:p w14:paraId="6E7093F1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4.3. Покупатель обязуется произвести своевременно приемку товара. </w:t>
      </w:r>
    </w:p>
    <w:p w14:paraId="6FE8887F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4.4. Покупатель обязуется произвести своевременную оплату товара.</w:t>
      </w:r>
    </w:p>
    <w:p w14:paraId="46C96B65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29D3E3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Ответственность сторон</w:t>
      </w:r>
    </w:p>
    <w:p w14:paraId="37B28F45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5.1. При несоблюдении неоговоренных условий, стороны несут ответственность за неисполнение или ненадлежащее исполнение условий договора в соответствии с действующим законодательством.</w:t>
      </w:r>
    </w:p>
    <w:p w14:paraId="582F21CE" w14:textId="7B6340B5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5.2. Покупатель вправе не принимать часть или всю партию товара, если при приемке лабораторией будет установлена зараженность товара или выявлено превышение ограничительных норм.</w:t>
      </w:r>
    </w:p>
    <w:p w14:paraId="2330D094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5.3. Покупатель вправе в любое время в одностороннем порядке отказаться от </w:t>
      </w: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партии товара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>, без возмещения каких либо убытков, известив об этом Поставщика за один день до предполагаемой даты отгрузки товара.</w:t>
      </w:r>
    </w:p>
    <w:p w14:paraId="22BE7118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Поставщик может быть уведомлен по электронной почте, либо иным другим способом, удобным Покупателю.</w:t>
      </w:r>
    </w:p>
    <w:p w14:paraId="7F056973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5.4.В случае нарушения сроков оплаты товара Поставщик вправе потребовать от Покупателя уплаты пени в размере 0,01 (Ноля целых одной сотой) процента от стоимости поставленного и не оплаченного в срок товара за каждый день просрочки исполнения Покупателем обязанности по оплате товара до полного исполнения Покупателем нарушенного обязательства по оплате товара, но не более 1% от стоимости поставленного и не оплаченного товара.</w:t>
      </w:r>
    </w:p>
    <w:p w14:paraId="0DAB68C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5.5. В случае нарушения сроков поставки товара Покупатель вправе потребовать от Поставщика уплаты пени в размере 0,1 (Ноля целых одной десятой) процента от стоимости не поставленного в срок товара за каждый день просрочки исполнения Поставщиком обязанности по поставке товара.</w:t>
      </w:r>
    </w:p>
    <w:p w14:paraId="03DF417C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5.6. В случае не предоставления Поставщиком оригиналов товаросопроводительных документов в срок и/или неправильного (ненадлежащего) оформления Поставщиком товаросопроводительных документов</w:t>
      </w: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в т.ч.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>(отсутствие обязательных реквизитов; отсутствие обязательной информации о товаре; наличие некорректной/недостоверной информации; наличие ошибок/опечаток, указание цен, не соответствующих согласованным сторонами и т. п.), то Покупатель вправе предъявить Поставщику, а Поставщик обязан уплатить Покупателю штраф в размере 10% от стоимости партии поставки, а так же возместить все убытки сверх неустойки (включая неустойки и штрафы по решению налогового органа) вследствие неисполнения (несвоевременного исполнения, ненадлежащего исполнения) настоящего пункта договора.</w:t>
      </w:r>
    </w:p>
    <w:p w14:paraId="26DFE573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5.7. Предусмотренные настоящим договором пени, штрафы взыскиваются сверх суммы убытков.</w:t>
      </w:r>
    </w:p>
    <w:p w14:paraId="7672377A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5.8. Законные проценты на сумму долга, за период пользования любыми денежными средствами, по любому денежному обязательству, каждой из сторон в соответствии со ст. 317.1. ГК РФ не начисляются и не подлежат уплате противоположной стороне по договору.</w:t>
      </w:r>
    </w:p>
    <w:p w14:paraId="16C74732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5.9. Стороны пришли к соглашению, что в случае допущения поставщиком нарушений в части налогового законодательства отраженных в решениях налоговых органов, Покупатель вправе произвести взаимозачёт на сумму убытков (в т.ч. штрафных санкций), которые Покупатель понес или должен будет понести.</w:t>
      </w:r>
    </w:p>
    <w:p w14:paraId="6F96C3BA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DF974E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Условие о конфиденциальности</w:t>
      </w:r>
    </w:p>
    <w:p w14:paraId="6DBC51FE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6.1. Стороны дают обязательство о конфиденциальности и неразглашении информации, получаемой сторонами в рамках исполнения настоящего договора. Стороны определили, что к конфиденциальной информации относится любая информация о деятельности стороны, которая получена в связи с исполнением настоящего договора, и не предназначена для передачи третьим лицам, в том числе, но не ограничиваясь, цены на товар, условия поставки, иная информация и данные хозяйственного, экономического, финансового, операционного и иного характера,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которые предоставлены стороной, либо стали известными в связи с исполнением обязательств в рамках настоящего договора.</w:t>
      </w:r>
    </w:p>
    <w:p w14:paraId="6CA26220" w14:textId="6D6E40A8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lastRenderedPageBreak/>
        <w:t>6.</w:t>
      </w:r>
      <w:r w:rsidR="0002651D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>.</w:t>
      </w:r>
      <w:r w:rsidR="000265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>В случае установления факта раскрытия конфиденциальной информации стороной настоящего договора, пострадавшая сторона имеет право на возмещение документально подтвержденного реального ущерба, возникшего в результате разглашения конфиденциальной информации или её несанкционированного использования</w:t>
      </w:r>
    </w:p>
    <w:p w14:paraId="2C9B5259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B2E963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Заявление о добросовестности</w:t>
      </w:r>
    </w:p>
    <w:p w14:paraId="33B058A0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7.1.Поставщик в соответствии со ст.431.2 ГК РФ дает следующие заверения, исходя из того, что Покупатель полагается на них при ведении своей деятельности:</w:t>
      </w:r>
    </w:p>
    <w:p w14:paraId="0F44CDEA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7.1.1. Поставщик обладает ресурсами, персоналом и активами, а так же соответствующими разрешениями, лицензиями и допусками (если требуются для данного вида деятельности), необходимыми для исполнения Договора.</w:t>
      </w:r>
    </w:p>
    <w:p w14:paraId="5D9C510A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7.1.2. Поставщик уплачивает все налоги и сборы, а так же своевременно подает налоговую и иную отчетность в соответствии с действующим законодательством РФ.</w:t>
      </w:r>
    </w:p>
    <w:p w14:paraId="50DDCDF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7.1.3. Все операции Поставщика по покупке товара у поставщиков, продаже товара Покупателю отражены в первичной документации Поставщика, в бухгалтерской, налоговой и любой иной отчетности, обязанность по ведению которой возлагается на Поставщика.</w:t>
      </w:r>
    </w:p>
    <w:p w14:paraId="683354B2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7.1.4. Поставщик предоставит Покупателю соответствующие действующему законодательству РФ первичные документы, которыми оформляется продажа товара.</w:t>
      </w:r>
    </w:p>
    <w:p w14:paraId="144513F2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7.1.5. Поставщик гарантирует, что:</w:t>
      </w:r>
    </w:p>
    <w:p w14:paraId="391AF83E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— зарегистрирован в ЕГРЮЛ надлежащим образом;</w:t>
      </w:r>
    </w:p>
    <w:p w14:paraId="5AB22762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— его исполнительный орган находится и осуществляет функции управления по месту регистрации юрлица, и в нем нет дисквалифицированных лиц; </w:t>
      </w:r>
    </w:p>
    <w:p w14:paraId="7F9DB1AA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— для заключения и исполнения Договора он получил все необходимые согласия, одобрения, разрешения и лицензии.</w:t>
      </w:r>
    </w:p>
    <w:p w14:paraId="5FB5C982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— не существует документов, которые запрещают ему или ограничивают его право заключать и исполнять Договор;</w:t>
      </w:r>
    </w:p>
    <w:p w14:paraId="5C0058B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— отразит в налоговой отчетности НДС, уплаченный Покупателем в составе цены товара;</w:t>
      </w:r>
    </w:p>
    <w:p w14:paraId="1458522E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— все операции по покупке товара у своих поставщиков и его продаже Покупателю Поставщик полностью отразит в первичной документации, а также в бухгалтерской, налоговой, статистической отчетности;</w:t>
      </w:r>
    </w:p>
    <w:p w14:paraId="1B555F31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7.2. Поставщик обязуется по требованию Покупателя или налоговых органов предоставлять копии документов, относящихся к поставке Товара и подтверждающих заверения, указанные в Договоре, в течение 5 (пяти) рабочих дней с момента получения запроса.</w:t>
      </w:r>
    </w:p>
    <w:p w14:paraId="3531A249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7.3. Поставщик обязуется возместить Покупателю убытки (ущерб), понесенные последним вследствие нарушения Поставщиком указанных в договоре заверений (гарантий) и/или допущенных поставщиком нарушений (в том числе налогового законодательства) отраженных в решениях налоговых органов, в размере сумм, уплаченных Покупателем в бюджет на основании решений (требований) налоговых органов о доначислении НДС (в том числе решений об отказе в применении налоговых вычетов), который был уплачен Поставщику в составе цены Товара, решений (требований) об уплате пеней и штрафов на указанный размер доначисленного НДС.</w:t>
      </w:r>
    </w:p>
    <w:p w14:paraId="4C2B88EF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7.4. Срок возмещения ущерба и убытков — 20 (Двадцать) календарных дней со дня получения мотивированного требования от Покупателя.</w:t>
      </w:r>
    </w:p>
    <w:p w14:paraId="3D311E6D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692121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Срок действия договора и порядок расторжения договора</w:t>
      </w:r>
    </w:p>
    <w:p w14:paraId="7C28A72E" w14:textId="27EF9B2B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 xml:space="preserve">8.1. Срок действия настоящего договора устанавливается с момента его подписания и действует </w:t>
      </w: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до полного исполнения Сторонами своих обязательств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A98987" w14:textId="6179D6BA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8.2 При исполнении Договора не допускается перемена Поставщика.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14:paraId="730DDBC1" w14:textId="77777777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случае перемены Покупателя права и обязанности Покупателя, предусмотренные Договором, переходят к новому Покупателю. </w:t>
      </w:r>
    </w:p>
    <w:p w14:paraId="75B4618A" w14:textId="2C6ECD03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8.3. При исполнении Договора по согласованию Покупателя с Поставщиком допускается изменение наименования страны происхождения товара и (или) товарный знак поставляемого товара (используемого материала при выполнении работ, оказании услуг) при его наличии, в случае если качество, технические и функциональные характеристики (потребительские свойства) нового товара (материала, используемого при выполнении работ, оказании услуг) не ухудшаются по сравнению с заменяемым товаром (материалом, используемым при выполнении работ, оказании услуг). При этом, при исполнении договора, заключенного с участником закупки, которому предоставлен приоритет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40ED0AA" w14:textId="0B06F440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8.4. Настоящий Договор может быть расторгнут досрочно по соглашению сторон, по решению суда, либо в одностороннем порядке в соответствии с действующим законодательством по основаниям, предусмотренным гражданским законодательством.</w:t>
      </w:r>
    </w:p>
    <w:p w14:paraId="6767C207" w14:textId="173ECE19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8.5. Сторона, которой направлено предложение о расторжении Договора по соглашению сторон, должна дать письменный ответ, по существу, в срок не позднее 5 (пяти) календарных дней с даты его получения. Расторжение Договора производится Сторонами путем подписания соответствующего соглашения о расторжении.</w:t>
      </w:r>
    </w:p>
    <w:p w14:paraId="128B7032" w14:textId="35589A7D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8.6. Покупатель вправе в одностороннем порядке отказаться от заключения или исполнения договора с участником закупки в следующих случаях:</w:t>
      </w:r>
    </w:p>
    <w:p w14:paraId="0A5BE5FD" w14:textId="77777777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- в случае установления факта несоответствия участника закупки, поставляемого товара, выполняемой работы,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закупке, что позволило ему стать победителем определения поставщика (подрядчика, исполнителя);</w:t>
      </w:r>
    </w:p>
    <w:p w14:paraId="0292DAC1" w14:textId="77777777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- в случае необходимости исполнения предписаний антимонопольного органа и (или) иного уполномоченного контролирующего органа;</w:t>
      </w:r>
    </w:p>
    <w:p w14:paraId="56DEC84C" w14:textId="77777777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- в случае изменения законодательства Российской Федерации, нормативных правовых актов, издание правовых актов органов государственной власти, влияющих на возможность и/или целесообразность заключения договора;</w:t>
      </w:r>
    </w:p>
    <w:p w14:paraId="3BB6EF91" w14:textId="77777777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- в случае поставки товаров ненадлежащего качества с недостатками, которые не могут быть устранены в установленные Покупателем сроки.</w:t>
      </w:r>
    </w:p>
    <w:p w14:paraId="741163FE" w14:textId="550DB528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8.7.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договора.</w:t>
      </w:r>
    </w:p>
    <w:p w14:paraId="2E2086C1" w14:textId="31D45BBE" w:rsidR="00254793" w:rsidRPr="00254793" w:rsidRDefault="00254793" w:rsidP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  <w:lang w:val="ru-RU"/>
        </w:rPr>
        <w:t>8.8. Все изменения и дополнения вносятся в Договор в письменной форме по соглашению сторон, либо по решению суда.</w:t>
      </w:r>
    </w:p>
    <w:p w14:paraId="3EA298C1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CB067E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Специальные требования к качеству товара</w:t>
      </w:r>
    </w:p>
    <w:p w14:paraId="4DC4FC92" w14:textId="77777777" w:rsidR="00D84E03" w:rsidRPr="00254793" w:rsidRDefault="0025479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9.1. Поставщик обязуется поставить сырьё, соответствующее следующим требованиям: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304"/>
        <w:gridCol w:w="7910"/>
      </w:tblGrid>
      <w:tr w:rsidR="00254793" w:rsidRPr="00254793" w14:paraId="6A6ED48D" w14:textId="77777777" w:rsidTr="006537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B0E5" w14:textId="77777777" w:rsidR="00254793" w:rsidRPr="00254793" w:rsidRDefault="00254793" w:rsidP="00837443">
            <w:pPr>
              <w:widowControl w:val="0"/>
              <w:tabs>
                <w:tab w:val="left" w:pos="907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47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2547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п.п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35FB" w14:textId="77777777" w:rsidR="00254793" w:rsidRPr="00254793" w:rsidRDefault="00254793" w:rsidP="00837443">
            <w:pPr>
              <w:widowControl w:val="0"/>
              <w:tabs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47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A73E" w14:textId="77777777" w:rsidR="00254793" w:rsidRPr="00254793" w:rsidRDefault="00254793" w:rsidP="00837443">
            <w:pPr>
              <w:widowControl w:val="0"/>
              <w:tabs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47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Техническая характеристика товара</w:t>
            </w:r>
          </w:p>
        </w:tc>
      </w:tr>
      <w:tr w:rsidR="00254793" w:rsidRPr="00254793" w14:paraId="044B3362" w14:textId="77777777" w:rsidTr="006537CA">
        <w:trPr>
          <w:trHeight w:val="56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0A27" w14:textId="77777777" w:rsidR="00254793" w:rsidRPr="00254793" w:rsidRDefault="00254793" w:rsidP="00837443">
            <w:pPr>
              <w:widowControl w:val="0"/>
              <w:tabs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47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D842" w14:textId="77777777" w:rsidR="00254793" w:rsidRPr="00254793" w:rsidRDefault="00254793" w:rsidP="00837443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47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Семена подсолнечника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14EB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Семена подсолнечника Светлана КЛП (Производственная система 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Clearfield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Plus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) или эквивалент.                                                                                  </w:t>
            </w:r>
          </w:p>
          <w:p w14:paraId="365C7D60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ГОСТ 52325-2005 </w:t>
            </w:r>
          </w:p>
          <w:p w14:paraId="15429096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Раннеспелый гибрид подсолнечника.</w:t>
            </w:r>
          </w:p>
          <w:p w14:paraId="35B193A0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Группа спелости- раннеспелый</w:t>
            </w:r>
          </w:p>
          <w:p w14:paraId="78791F63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Устойчивость к расам заразихи А-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</w:p>
          <w:p w14:paraId="59B616FE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Маслиничность до 51-53%</w:t>
            </w:r>
          </w:p>
          <w:p w14:paraId="399CFC32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Размер корзинки – до 22 см</w:t>
            </w:r>
          </w:p>
          <w:p w14:paraId="5683CF8C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Высота растения 120-140 см</w:t>
            </w:r>
          </w:p>
          <w:p w14:paraId="19BE0F58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Потенциал урожайности &gt; 40ц/га</w:t>
            </w:r>
          </w:p>
          <w:p w14:paraId="2B5F6282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Упаковка – не менее 150 тыс.штук семян</w:t>
            </w:r>
          </w:p>
          <w:p w14:paraId="0552F045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Протравка семян – Максим (Флудиоксонил), Апрон (Мефеноксам), Кайзер (Тиаметоксам)</w:t>
            </w:r>
          </w:p>
          <w:p w14:paraId="59D82EC7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Масса 1000 семян –  не менее 60 грамм</w:t>
            </w:r>
          </w:p>
          <w:p w14:paraId="55876C79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Всхожесть не менее 85%</w:t>
            </w:r>
          </w:p>
          <w:p w14:paraId="4759322D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Семена урожая не ранее 2024 года, включён в Госреестр по Уральскому (9) региону.</w:t>
            </w:r>
          </w:p>
        </w:tc>
      </w:tr>
      <w:tr w:rsidR="00254793" w:rsidRPr="00254793" w14:paraId="5A647C08" w14:textId="77777777" w:rsidTr="006537CA">
        <w:trPr>
          <w:trHeight w:val="38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D792" w14:textId="77777777" w:rsidR="00254793" w:rsidRPr="00254793" w:rsidRDefault="00254793" w:rsidP="00837443">
            <w:pPr>
              <w:widowControl w:val="0"/>
              <w:tabs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47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EF96" w14:textId="77777777" w:rsidR="00254793" w:rsidRPr="00254793" w:rsidRDefault="00254793" w:rsidP="00837443">
            <w:pPr>
              <w:widowControl w:val="0"/>
              <w:tabs>
                <w:tab w:val="left" w:pos="9072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Семена подсолнечника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C0E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Семена подсолнечника Союз (классическая технология) или эквивалент </w:t>
            </w:r>
          </w:p>
          <w:p w14:paraId="0AF568A1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ГОСТ 52325-2005</w:t>
            </w:r>
          </w:p>
          <w:p w14:paraId="03BB9F6A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Трёхлинейный гибрид </w:t>
            </w:r>
          </w:p>
          <w:p w14:paraId="4FDF5E74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Группа спелости- скороспелый</w:t>
            </w:r>
          </w:p>
          <w:p w14:paraId="473763C7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Устойчивость к расам заразихи А-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</w:p>
          <w:p w14:paraId="32FBA8C1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Маслиничность 48-50%</w:t>
            </w:r>
          </w:p>
          <w:p w14:paraId="7B85B752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Размер корзинки – до 22 см</w:t>
            </w:r>
          </w:p>
          <w:p w14:paraId="53D6C25E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Высота растения 170 см</w:t>
            </w:r>
          </w:p>
          <w:p w14:paraId="70EB7A78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Высокая засухоустойчивость</w:t>
            </w:r>
          </w:p>
          <w:p w14:paraId="14C64422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Потенциал урожайности 42-45ц/га</w:t>
            </w:r>
          </w:p>
          <w:p w14:paraId="15308D9E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Упаковка – не менее 150 тыс.штук семян</w:t>
            </w:r>
          </w:p>
          <w:p w14:paraId="02B5A1E5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Протравка семян – Максим (Флудиоксонил), Круйзер (Тиаметоксам), Биостимулятор</w:t>
            </w:r>
          </w:p>
          <w:p w14:paraId="0D108A36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Масса 1000 семян –  не менее 60 грамм</w:t>
            </w:r>
          </w:p>
          <w:p w14:paraId="4E93000D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Всхожесть не менее 85%</w:t>
            </w:r>
          </w:p>
          <w:p w14:paraId="7875D9A9" w14:textId="77777777" w:rsidR="00254793" w:rsidRPr="00254793" w:rsidRDefault="00254793" w:rsidP="00837443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Семена урожая не ранее 2024 года, включён в Госреестр по Уральскому (9) региону.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156A9CB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BCABDD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Заключительные положения</w:t>
      </w:r>
    </w:p>
    <w:p w14:paraId="5519EBF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10.1. Информация для оформления ветеринарного сопроводительного документа (ветсвидетельства).</w:t>
      </w:r>
    </w:p>
    <w:p w14:paraId="5E7E42C9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Комбикормовый завод (Российская Федерация, Челябинская область, Еманжелинский район, рп. Красногорский)</w:t>
      </w:r>
    </w:p>
    <w:p w14:paraId="2CD513FA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ab/>
        <w:t>Номер предприятия в реестре: RU 1035631</w:t>
      </w:r>
    </w:p>
    <w:p w14:paraId="056C3A70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ab/>
        <w:t>Срок годности зерна — 2 года.</w:t>
      </w:r>
    </w:p>
    <w:p w14:paraId="240A7B49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ab/>
        <w:t>Информация для оформления товaросопроводительных документов нa пaртию зернa –(СДИЗ).</w:t>
      </w:r>
    </w:p>
    <w:p w14:paraId="41285385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Наименование поднадзорного объекта в ФГИС  «ЗЕРНО»:</w:t>
      </w:r>
    </w:p>
    <w:p w14:paraId="4318F167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254793">
        <w:rPr>
          <w:rFonts w:ascii="Times New Roman" w:eastAsia="Times New Roman" w:hAnsi="Times New Roman" w:cs="Times New Roman"/>
          <w:sz w:val="20"/>
          <w:szCs w:val="20"/>
        </w:rPr>
        <w:tab/>
        <w:t>Российская Федерация, Челябинская обл, р-н Еманжелинский, рп Красногорский</w:t>
      </w:r>
    </w:p>
    <w:p w14:paraId="2EF1DF53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10.2.  Во всем остальном, что не предусмотрено настоящим договором, стороны руководствуются действующим законодательством.</w:t>
      </w:r>
    </w:p>
    <w:p w14:paraId="10114401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10.3. Договор и все приложения к нему в письменной форме может быть заключен путем составления одного документа, подписанного сторонами.</w:t>
      </w:r>
    </w:p>
    <w:p w14:paraId="016A8D78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Документы, подписанные и переданные вышеуказанными способами, имеют юридическую силу до момента обмена сторонами оригиналами документов.</w:t>
      </w:r>
    </w:p>
    <w:p w14:paraId="6FC1E36C" w14:textId="77777777" w:rsidR="00D84E03" w:rsidRPr="00254793" w:rsidRDefault="0025479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sz w:val="20"/>
          <w:szCs w:val="20"/>
        </w:rPr>
        <w:t>10.4. Договор распространяет свое действие на Сторон с момента подписания его Поставщиком.</w:t>
      </w:r>
    </w:p>
    <w:p w14:paraId="7C3E943A" w14:textId="77777777" w:rsidR="00D84E03" w:rsidRPr="00254793" w:rsidRDefault="00D84E03">
      <w:pPr>
        <w:spacing w:line="240" w:lineRule="auto"/>
        <w:ind w:left="-570"/>
        <w:jc w:val="both"/>
        <w:rPr>
          <w:rFonts w:ascii="Times New Roman" w:hAnsi="Times New Roman" w:cs="Times New Roman"/>
          <w:sz w:val="20"/>
          <w:szCs w:val="20"/>
        </w:rPr>
      </w:pPr>
    </w:p>
    <w:p w14:paraId="07C97354" w14:textId="77777777" w:rsidR="00D84E03" w:rsidRPr="00254793" w:rsidRDefault="00254793">
      <w:pPr>
        <w:numPr>
          <w:ilvl w:val="0"/>
          <w:numId w:val="1"/>
        </w:numPr>
        <w:spacing w:line="240" w:lineRule="auto"/>
        <w:ind w:left="-5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 xml:space="preserve">Реквизиты </w:t>
      </w:r>
      <w:r w:rsidRPr="0025479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Сторон</w:t>
      </w:r>
      <w:r w:rsidRPr="00254793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W w:w="10235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4672"/>
        <w:gridCol w:w="5563"/>
      </w:tblGrid>
      <w:tr w:rsidR="00254793" w:rsidRPr="00254793" w14:paraId="6A37C67D" w14:textId="77777777" w:rsidTr="006537CA">
        <w:trPr>
          <w:trHeight w:val="20"/>
        </w:trPr>
        <w:tc>
          <w:tcPr>
            <w:tcW w:w="4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17A5327" w14:textId="77777777" w:rsidR="00254793" w:rsidRPr="00254793" w:rsidRDefault="00254793" w:rsidP="00837443">
            <w:pPr>
              <w:tabs>
                <w:tab w:val="left" w:pos="92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353897532" w:edGrp="everyone"/>
            <w:r w:rsidRPr="00254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Поставщика</w:t>
            </w:r>
          </w:p>
          <w:p w14:paraId="2CD4E3B9" w14:textId="77777777" w:rsidR="00254793" w:rsidRPr="00254793" w:rsidRDefault="00254793" w:rsidP="008374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(полное/сокращенное)</w:t>
            </w:r>
          </w:p>
          <w:p w14:paraId="7E3100E7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38FC8FCF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proofErr w:type="gramStart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адрес:_</w:t>
            </w:r>
            <w:proofErr w:type="gramEnd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4C25D5A2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62819518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Адрес для корреспонденции: __________________</w:t>
            </w:r>
          </w:p>
          <w:p w14:paraId="2041B37B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14:paraId="138F2F88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771F3092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телефон_____________________________________, </w:t>
            </w:r>
          </w:p>
          <w:p w14:paraId="02974BC7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ОГРН_______________________________________</w:t>
            </w:r>
          </w:p>
          <w:p w14:paraId="0142B2CA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ИНН________________________________________ КПП________________________________________ </w:t>
            </w:r>
          </w:p>
          <w:p w14:paraId="76D1AA47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расчетный счет № ____________________________</w:t>
            </w:r>
          </w:p>
          <w:p w14:paraId="647E4DC9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в____________________________________________ </w:t>
            </w:r>
          </w:p>
          <w:p w14:paraId="5C7B09AF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кор. </w:t>
            </w:r>
            <w:r w:rsidRPr="0025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чет №_________________________________, </w:t>
            </w:r>
          </w:p>
          <w:p w14:paraId="772F6D77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    БИК___________________</w:t>
            </w:r>
          </w:p>
          <w:p w14:paraId="718767D6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77573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____________________/ _____________</w:t>
            </w:r>
          </w:p>
          <w:p w14:paraId="1D51AE99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A3D3C2" w14:textId="77777777" w:rsidR="00254793" w:rsidRPr="00254793" w:rsidRDefault="00254793" w:rsidP="008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ermEnd w:id="353897532"/>
          </w:p>
        </w:tc>
        <w:tc>
          <w:tcPr>
            <w:tcW w:w="5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4FFB1CF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5479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Реквизиты Покупателя:</w:t>
            </w:r>
          </w:p>
          <w:p w14:paraId="40554776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  <w:shd w:val="clear" w:color="auto" w:fill="FFFFFF"/>
              </w:rPr>
              <w:t>Наименование (полное/сокращенное)</w:t>
            </w:r>
            <w:r w:rsidRPr="00254793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 xml:space="preserve"> -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 Общество с ограниченной ответственностью «Агрофирма Ариант» (ООО «Агрофирма Ариант»). </w:t>
            </w:r>
          </w:p>
          <w:p w14:paraId="22A35DF9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  <w:shd w:val="clear" w:color="auto" w:fill="FFFFFF"/>
              </w:rPr>
              <w:t>Юридический адрес: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 457011, Челябинская обл., Увельский р-н, с. Рождественка, ул. Совхозная, д. 2.</w:t>
            </w:r>
          </w:p>
          <w:p w14:paraId="7058E6B5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  <w:shd w:val="clear" w:color="auto" w:fill="FFFFFF"/>
              </w:rPr>
              <w:t>Адрес для корреспонденции: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 454901, Россия, г. Челябинск, Блюхера, д. 211 </w:t>
            </w:r>
          </w:p>
          <w:p w14:paraId="1D979203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</w:rPr>
              <w:t>Телефон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 xml:space="preserve"> +7 (351) 245-03-45,</w:t>
            </w:r>
          </w:p>
          <w:p w14:paraId="5AC93210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lang w:val="en-US"/>
              </w:rPr>
              <w:t>e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-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lang w:val="en-US"/>
              </w:rPr>
              <w:t>mail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 xml:space="preserve">:  </w:t>
            </w:r>
            <w:hyperlink r:id="rId5">
              <w:r w:rsidRPr="00254793">
                <w:rPr>
                  <w:rStyle w:val="-"/>
                  <w:rFonts w:ascii="Times New Roman" w:hAnsi="Times New Roman" w:cs="Times New Roman"/>
                  <w:color w:val="000000"/>
                  <w:sz w:val="20"/>
                  <w:szCs w:val="20"/>
                </w:rPr>
                <w:t>info@</w:t>
              </w:r>
              <w:r w:rsidRPr="00254793">
                <w:rPr>
                  <w:rStyle w:val="-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</w:t>
              </w:r>
              <w:r w:rsidRPr="00254793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254793">
                <w:rPr>
                  <w:rStyle w:val="-"/>
                  <w:rFonts w:ascii="Times New Roman" w:hAnsi="Times New Roman" w:cs="Times New Roman"/>
                  <w:color w:val="000000"/>
                  <w:sz w:val="20"/>
                  <w:szCs w:val="20"/>
                </w:rPr>
                <w:t>ariant.ru</w:t>
              </w:r>
            </w:hyperlink>
            <w:r w:rsidRPr="002547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9279C2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</w:rPr>
              <w:t>ОГРН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 xml:space="preserve">1137424000207 </w:t>
            </w:r>
          </w:p>
          <w:p w14:paraId="55560189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</w:rPr>
              <w:t>ИНН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7424030241,</w:t>
            </w:r>
          </w:p>
          <w:p w14:paraId="5F85BA90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</w:rPr>
              <w:t>КПП</w:t>
            </w: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742401001,</w:t>
            </w:r>
          </w:p>
          <w:p w14:paraId="2852FF54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  <w:shd w:val="clear" w:color="auto" w:fill="FFFFFF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  <w:u w:val="single"/>
                <w:shd w:val="clear" w:color="auto" w:fill="FFFFFF"/>
              </w:rPr>
              <w:t>Банковские реквизиты:</w:t>
            </w:r>
          </w:p>
          <w:p w14:paraId="131A0B44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р/с 40702810672190103148</w:t>
            </w:r>
          </w:p>
          <w:p w14:paraId="692EE9B2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в отделении №8597 Сбербанка России г.Челябинск</w:t>
            </w:r>
          </w:p>
          <w:p w14:paraId="47C84222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к/с 30101810700000000602 БИК 047501602</w:t>
            </w:r>
          </w:p>
          <w:p w14:paraId="689DDE7A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CDD25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Управляющий директор</w:t>
            </w:r>
          </w:p>
          <w:p w14:paraId="6A6C7A5A" w14:textId="77777777" w:rsidR="00254793" w:rsidRPr="00254793" w:rsidRDefault="00254793" w:rsidP="00837443">
            <w:pPr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FE52E" w14:textId="1826F5B2" w:rsidR="00254793" w:rsidRPr="00254793" w:rsidRDefault="00254793" w:rsidP="006537CA">
            <w:pPr>
              <w:ind w:left="19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479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/Р. М. </w:t>
            </w: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Зайнуллин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54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м.п</w:t>
            </w:r>
            <w:proofErr w:type="spellEnd"/>
            <w:r w:rsidRPr="00254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5CF961FD" w14:textId="77777777" w:rsidR="00D84E03" w:rsidRPr="00254793" w:rsidRDefault="00D84E03" w:rsidP="006537CA">
      <w:pPr>
        <w:spacing w:line="240" w:lineRule="auto"/>
        <w:ind w:left="-570"/>
        <w:jc w:val="right"/>
        <w:rPr>
          <w:rFonts w:ascii="Times New Roman" w:hAnsi="Times New Roman" w:cs="Times New Roman"/>
          <w:sz w:val="20"/>
          <w:szCs w:val="20"/>
        </w:rPr>
      </w:pPr>
    </w:p>
    <w:sectPr w:rsidR="00D84E03" w:rsidRPr="00254793">
      <w:pgSz w:w="11906" w:h="16838"/>
      <w:pgMar w:top="1440" w:right="578" w:bottom="1440" w:left="1276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8DA"/>
    <w:multiLevelType w:val="multilevel"/>
    <w:tmpl w:val="54D4B5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EBE4E17"/>
    <w:multiLevelType w:val="multilevel"/>
    <w:tmpl w:val="33103FC0"/>
    <w:lvl w:ilvl="0">
      <w:start w:val="1"/>
      <w:numFmt w:val="decimal"/>
      <w:lvlText w:val="%1."/>
      <w:lvlJc w:val="right"/>
      <w:pPr>
        <w:ind w:left="720" w:hanging="360"/>
      </w:pPr>
      <w:rPr>
        <w:sz w:val="16"/>
        <w:szCs w:val="16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16"/>
        <w:szCs w:val="16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z w:val="16"/>
        <w:szCs w:val="16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z w:val="16"/>
        <w:szCs w:val="16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z w:val="16"/>
        <w:szCs w:val="16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z w:val="16"/>
        <w:szCs w:val="16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z w:val="16"/>
        <w:szCs w:val="16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z w:val="16"/>
        <w:szCs w:val="16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z w:val="16"/>
        <w:szCs w:val="16"/>
        <w:u w:val="none"/>
      </w:rPr>
    </w:lvl>
  </w:abstractNum>
  <w:abstractNum w:abstractNumId="2" w15:restartNumberingAfterBreak="0">
    <w:nsid w:val="2E1C22B2"/>
    <w:multiLevelType w:val="multilevel"/>
    <w:tmpl w:val="5EB47E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comments" w:enforcement="1" w:cryptProviderType="rsaAES" w:cryptAlgorithmClass="hash" w:cryptAlgorithmType="typeAny" w:cryptAlgorithmSid="14" w:cryptSpinCount="100000" w:hash="q4MA0SfxCKY7nX5getWXHeYYfWc0Sm/PeYlhMPTuWHjtHoixvxMr4zIhiXZvGQhgXBkrIcHPmatE7b3th/eHZg==" w:salt="sMeGjAp33VZZ2o97r7+R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03"/>
    <w:rsid w:val="0002651D"/>
    <w:rsid w:val="00076249"/>
    <w:rsid w:val="00254793"/>
    <w:rsid w:val="004A2064"/>
    <w:rsid w:val="006537CA"/>
    <w:rsid w:val="00695BC9"/>
    <w:rsid w:val="008D748F"/>
    <w:rsid w:val="00A605E9"/>
    <w:rsid w:val="00C12292"/>
    <w:rsid w:val="00D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5307"/>
  <w15:docId w15:val="{93D17BFC-1821-4D18-BCDC-0FF2CDEC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ascii="Times New Roman" w:hAnsi="Times New Roman"/>
      <w:sz w:val="16"/>
      <w:szCs w:val="16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rPr>
      <w:sz w:val="16"/>
      <w:szCs w:val="16"/>
      <w:u w:val="none"/>
    </w:rPr>
  </w:style>
  <w:style w:type="character" w:customStyle="1" w:styleId="ListLabel3">
    <w:name w:val="ListLabel 3"/>
    <w:rPr>
      <w:sz w:val="16"/>
      <w:szCs w:val="16"/>
      <w:u w:val="none"/>
    </w:rPr>
  </w:style>
  <w:style w:type="character" w:customStyle="1" w:styleId="ListLabel4">
    <w:name w:val="ListLabel 4"/>
    <w:rPr>
      <w:sz w:val="16"/>
      <w:szCs w:val="16"/>
      <w:u w:val="none"/>
    </w:rPr>
  </w:style>
  <w:style w:type="character" w:customStyle="1" w:styleId="ListLabel5">
    <w:name w:val="ListLabel 5"/>
    <w:rPr>
      <w:sz w:val="16"/>
      <w:szCs w:val="16"/>
      <w:u w:val="none"/>
    </w:rPr>
  </w:style>
  <w:style w:type="character" w:customStyle="1" w:styleId="ListLabel6">
    <w:name w:val="ListLabel 6"/>
    <w:rPr>
      <w:sz w:val="16"/>
      <w:szCs w:val="16"/>
      <w:u w:val="none"/>
    </w:rPr>
  </w:style>
  <w:style w:type="character" w:customStyle="1" w:styleId="ListLabel7">
    <w:name w:val="ListLabel 7"/>
    <w:rPr>
      <w:sz w:val="16"/>
      <w:szCs w:val="16"/>
      <w:u w:val="none"/>
    </w:rPr>
  </w:style>
  <w:style w:type="character" w:customStyle="1" w:styleId="ListLabel8">
    <w:name w:val="ListLabel 8"/>
    <w:rPr>
      <w:sz w:val="16"/>
      <w:szCs w:val="16"/>
      <w:u w:val="none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customStyle="1" w:styleId="a8">
    <w:name w:val="Заглавие"/>
    <w:basedOn w:val="a"/>
    <w:uiPriority w:val="10"/>
    <w:qFormat/>
    <w:pPr>
      <w:keepNext/>
      <w:keepLines/>
      <w:spacing w:before="240" w:after="60"/>
    </w:pPr>
    <w:rPr>
      <w:rFonts w:ascii="Liberation Sans" w:eastAsia="Microsoft YaHei" w:hAnsi="Liberation Sans" w:cs="Mangal"/>
      <w:sz w:val="52"/>
      <w:szCs w:val="52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Subtitle"/>
    <w:basedOn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11">
    <w:name w:val="Обычный1"/>
    <w:rsid w:val="00F705C6"/>
    <w:pPr>
      <w:widowControl w:val="0"/>
      <w:suppressAutoHyphens/>
      <w:spacing w:after="20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customStyle="1" w:styleId="aa">
    <w:name w:val="Содержимое таблицы"/>
    <w:basedOn w:val="a"/>
    <w:rsid w:val="00F705C6"/>
    <w:pPr>
      <w:suppressLineNumbers/>
      <w:spacing w:after="200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F705C6"/>
    <w:pPr>
      <w:suppressAutoHyphens/>
      <w:spacing w:line="240" w:lineRule="auto"/>
    </w:pPr>
    <w:rPr>
      <w:rFonts w:cs="Courier New"/>
      <w:color w:val="00000A"/>
      <w:sz w:val="20"/>
      <w:szCs w:val="24"/>
      <w:lang w:val="ru-RU" w:eastAsia="zh-CN" w:bidi="hi-IN"/>
    </w:rPr>
  </w:style>
  <w:style w:type="paragraph" w:styleId="ab">
    <w:name w:val="List Paragraph"/>
    <w:basedOn w:val="a"/>
    <w:qFormat/>
    <w:pPr>
      <w:ind w:left="720" w:firstLine="284"/>
      <w:contextualSpacing/>
    </w:pPr>
  </w:style>
  <w:style w:type="paragraph" w:customStyle="1" w:styleId="P273">
    <w:name w:val="P273"/>
    <w:basedOn w:val="a"/>
    <w:pPr>
      <w:spacing w:before="99" w:after="119" w:line="240" w:lineRule="auto"/>
      <w:jc w:val="center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ac">
    <w:name w:val="Заголовок таблицы"/>
    <w:basedOn w:val="a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semiHidden/>
    <w:unhideWhenUsed/>
    <w:rsid w:val="004A2064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ri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4437</Words>
  <Characters>25295</Characters>
  <Application>Microsoft Office Word</Application>
  <DocSecurity>8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 Сергей Григорьевич</dc:creator>
  <cp:lastModifiedBy>RePack by Diakov</cp:lastModifiedBy>
  <cp:revision>6</cp:revision>
  <dcterms:created xsi:type="dcterms:W3CDTF">2024-12-28T08:12:00Z</dcterms:created>
  <dcterms:modified xsi:type="dcterms:W3CDTF">2024-12-28T17:42:00Z</dcterms:modified>
  <dc:language>ru-RU</dc:language>
</cp:coreProperties>
</file>