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BAC4" w14:textId="2E766512" w:rsidR="00E23CC4" w:rsidRPr="00E23CC4" w:rsidRDefault="00E23CC4" w:rsidP="00E23CC4">
      <w:pPr>
        <w:pStyle w:val="1"/>
        <w:keepNext w:val="0"/>
        <w:keepLines w:val="0"/>
        <w:tabs>
          <w:tab w:val="left" w:pos="567"/>
        </w:tabs>
        <w:spacing w:before="120" w:after="120" w:line="360" w:lineRule="auto"/>
        <w:jc w:val="right"/>
        <w:rPr>
          <w:rFonts w:ascii="Times New Roman" w:eastAsia="Times New Roman" w:hAnsi="Times New Roman" w:cs="Times New Roman"/>
          <w:color w:val="auto"/>
          <w:kern w:val="36"/>
          <w:sz w:val="24"/>
          <w:szCs w:val="24"/>
        </w:rPr>
      </w:pPr>
      <w:bookmarkStart w:id="0" w:name="_Toc101520384"/>
      <w:r w:rsidRPr="00E23CC4">
        <w:rPr>
          <w:rFonts w:ascii="Times New Roman" w:eastAsia="Times New Roman" w:hAnsi="Times New Roman" w:cs="Times New Roman"/>
          <w:color w:val="auto"/>
          <w:kern w:val="36"/>
          <w:sz w:val="24"/>
          <w:szCs w:val="24"/>
        </w:rPr>
        <w:t>Приложение № 1 к Извещению</w:t>
      </w:r>
    </w:p>
    <w:p w14:paraId="2765BFE0" w14:textId="2E415438" w:rsidR="007A7F48" w:rsidRDefault="007A7F48" w:rsidP="007A7F48">
      <w:pPr>
        <w:pStyle w:val="1"/>
        <w:keepNext w:val="0"/>
        <w:keepLines w:val="0"/>
        <w:tabs>
          <w:tab w:val="left" w:pos="567"/>
        </w:tabs>
        <w:spacing w:before="120" w:after="120" w:line="360" w:lineRule="auto"/>
        <w:jc w:val="center"/>
        <w:rPr>
          <w:rFonts w:ascii="Times New Roman" w:eastAsia="Times New Roman" w:hAnsi="Times New Roman" w:cs="Times New Roman"/>
          <w:b/>
          <w:bCs/>
          <w:color w:val="auto"/>
          <w:kern w:val="36"/>
          <w:sz w:val="24"/>
          <w:szCs w:val="24"/>
        </w:rPr>
      </w:pPr>
      <w:r>
        <w:rPr>
          <w:rFonts w:ascii="Times New Roman" w:eastAsia="Times New Roman" w:hAnsi="Times New Roman" w:cs="Times New Roman"/>
          <w:b/>
          <w:bCs/>
          <w:color w:val="auto"/>
          <w:kern w:val="36"/>
          <w:sz w:val="24"/>
          <w:szCs w:val="24"/>
        </w:rPr>
        <w:t>ТЕХНИЧЕСКОЕ ЗАДАНИЕ</w:t>
      </w:r>
      <w:bookmarkEnd w:id="0"/>
    </w:p>
    <w:p w14:paraId="6AE55ABB" w14:textId="34E42501" w:rsidR="007A7F48" w:rsidRPr="00502624" w:rsidRDefault="00CC35A1" w:rsidP="007A7F48">
      <w:pPr>
        <w:spacing w:line="360" w:lineRule="auto"/>
        <w:jc w:val="center"/>
        <w:rPr>
          <w:color w:val="0D0D0D" w:themeColor="text1" w:themeTint="F2"/>
        </w:rPr>
      </w:pPr>
      <w:bookmarkStart w:id="1" w:name="_Hlk109646150"/>
      <w:r w:rsidRPr="00CC35A1">
        <w:rPr>
          <w:b/>
          <w:bCs/>
          <w:kern w:val="36"/>
        </w:rPr>
        <w:t xml:space="preserve">на оказание услуг по </w:t>
      </w:r>
      <w:r w:rsidR="00502624" w:rsidRPr="00502624">
        <w:rPr>
          <w:b/>
          <w:bCs/>
          <w:kern w:val="36"/>
        </w:rPr>
        <w:t>техническому освидетельствованию (наружный и внутренний осмотр, гидравлические испытания)</w:t>
      </w:r>
      <w:r w:rsidR="00361F02">
        <w:rPr>
          <w:b/>
          <w:bCs/>
          <w:kern w:val="36"/>
        </w:rPr>
        <w:t>, металлоконструкций каркаса</w:t>
      </w:r>
      <w:r w:rsidR="00502624" w:rsidRPr="00502624">
        <w:rPr>
          <w:b/>
          <w:bCs/>
          <w:kern w:val="36"/>
        </w:rPr>
        <w:t xml:space="preserve"> котлов</w:t>
      </w:r>
      <w:r w:rsidR="00670728">
        <w:rPr>
          <w:b/>
          <w:bCs/>
          <w:kern w:val="36"/>
        </w:rPr>
        <w:t xml:space="preserve">, </w:t>
      </w:r>
      <w:r w:rsidR="00A508A5">
        <w:rPr>
          <w:b/>
          <w:bCs/>
          <w:kern w:val="36"/>
        </w:rPr>
        <w:t xml:space="preserve">внутреннего трубопровода </w:t>
      </w:r>
      <w:r w:rsidR="00670728">
        <w:rPr>
          <w:b/>
          <w:bCs/>
          <w:kern w:val="36"/>
        </w:rPr>
        <w:t xml:space="preserve">и наружной тепловой сети </w:t>
      </w:r>
      <w:r w:rsidR="00A508A5">
        <w:rPr>
          <w:b/>
          <w:bCs/>
          <w:kern w:val="36"/>
        </w:rPr>
        <w:t>опасных производственных объектов ООО «Гранель Инжиниринг»</w:t>
      </w:r>
    </w:p>
    <w:tbl>
      <w:tblPr>
        <w:tblStyle w:val="a4"/>
        <w:tblW w:w="10204" w:type="dxa"/>
        <w:tblInd w:w="-289" w:type="dxa"/>
        <w:tblLayout w:type="fixed"/>
        <w:tblLook w:val="04A0" w:firstRow="1" w:lastRow="0" w:firstColumn="1" w:lastColumn="0" w:noHBand="0" w:noVBand="1"/>
      </w:tblPr>
      <w:tblGrid>
        <w:gridCol w:w="710"/>
        <w:gridCol w:w="3399"/>
        <w:gridCol w:w="6095"/>
      </w:tblGrid>
      <w:tr w:rsidR="007A7F48" w:rsidRPr="002E34B1" w14:paraId="77065BE6" w14:textId="77777777" w:rsidTr="00C15EC1">
        <w:tc>
          <w:tcPr>
            <w:tcW w:w="710" w:type="dxa"/>
          </w:tcPr>
          <w:bookmarkEnd w:id="1"/>
          <w:p w14:paraId="7BD6A4E0" w14:textId="77777777" w:rsidR="007A7F48" w:rsidRPr="002E34B1" w:rsidRDefault="007A7F48" w:rsidP="00C15EC1">
            <w:pPr>
              <w:spacing w:line="360" w:lineRule="auto"/>
              <w:jc w:val="center"/>
              <w:rPr>
                <w:b/>
                <w:color w:val="0D0D0D" w:themeColor="text1" w:themeTint="F2"/>
                <w:lang w:val="en-US"/>
              </w:rPr>
            </w:pPr>
            <w:r w:rsidRPr="002E34B1">
              <w:rPr>
                <w:b/>
                <w:color w:val="0D0D0D" w:themeColor="text1" w:themeTint="F2"/>
              </w:rPr>
              <w:t>№</w:t>
            </w:r>
          </w:p>
        </w:tc>
        <w:tc>
          <w:tcPr>
            <w:tcW w:w="3399" w:type="dxa"/>
            <w:vAlign w:val="center"/>
          </w:tcPr>
          <w:p w14:paraId="748029C5" w14:textId="77777777" w:rsidR="007A7F48" w:rsidRPr="002E34B1" w:rsidRDefault="007A7F48" w:rsidP="00C15EC1">
            <w:pPr>
              <w:spacing w:line="360" w:lineRule="auto"/>
              <w:jc w:val="center"/>
              <w:rPr>
                <w:b/>
                <w:color w:val="0D0D0D" w:themeColor="text1" w:themeTint="F2"/>
              </w:rPr>
            </w:pPr>
            <w:r w:rsidRPr="002E34B1">
              <w:rPr>
                <w:b/>
                <w:color w:val="0D0D0D" w:themeColor="text1" w:themeTint="F2"/>
              </w:rPr>
              <w:t>Наименование пункта</w:t>
            </w:r>
          </w:p>
        </w:tc>
        <w:tc>
          <w:tcPr>
            <w:tcW w:w="6095" w:type="dxa"/>
            <w:vAlign w:val="center"/>
          </w:tcPr>
          <w:p w14:paraId="73CF6944" w14:textId="77777777" w:rsidR="007A7F48" w:rsidRPr="002E34B1" w:rsidRDefault="007A7F48" w:rsidP="00C15EC1">
            <w:pPr>
              <w:spacing w:line="360" w:lineRule="auto"/>
              <w:jc w:val="center"/>
              <w:rPr>
                <w:b/>
                <w:color w:val="0D0D0D" w:themeColor="text1" w:themeTint="F2"/>
              </w:rPr>
            </w:pPr>
            <w:r w:rsidRPr="002E34B1">
              <w:rPr>
                <w:b/>
                <w:color w:val="0D0D0D" w:themeColor="text1" w:themeTint="F2"/>
              </w:rPr>
              <w:t>Информация</w:t>
            </w:r>
          </w:p>
        </w:tc>
      </w:tr>
      <w:tr w:rsidR="007A7F48" w:rsidRPr="002E34B1" w14:paraId="4DE6D0B7" w14:textId="77777777" w:rsidTr="00C15EC1">
        <w:tc>
          <w:tcPr>
            <w:tcW w:w="710" w:type="dxa"/>
            <w:vAlign w:val="center"/>
          </w:tcPr>
          <w:p w14:paraId="4A006CAF" w14:textId="77777777" w:rsidR="007A7F48" w:rsidRPr="002E34B1" w:rsidRDefault="007A7F48" w:rsidP="007A7F48">
            <w:pPr>
              <w:pStyle w:val="a3"/>
              <w:numPr>
                <w:ilvl w:val="0"/>
                <w:numId w:val="1"/>
              </w:numPr>
              <w:spacing w:after="0" w:line="360" w:lineRule="auto"/>
              <w:jc w:val="center"/>
              <w:rPr>
                <w:b/>
                <w:color w:val="0D0D0D" w:themeColor="text1" w:themeTint="F2"/>
                <w:sz w:val="24"/>
                <w:szCs w:val="24"/>
              </w:rPr>
            </w:pPr>
          </w:p>
        </w:tc>
        <w:tc>
          <w:tcPr>
            <w:tcW w:w="3399" w:type="dxa"/>
            <w:vAlign w:val="center"/>
          </w:tcPr>
          <w:p w14:paraId="0D563F3B" w14:textId="77777777" w:rsidR="007A7F48" w:rsidRPr="007D47A4" w:rsidRDefault="007A7F48" w:rsidP="00C15EC1">
            <w:pPr>
              <w:spacing w:line="360" w:lineRule="auto"/>
              <w:jc w:val="center"/>
              <w:rPr>
                <w:bCs/>
                <w:color w:val="0D0D0D" w:themeColor="text1" w:themeTint="F2"/>
              </w:rPr>
            </w:pPr>
            <w:r w:rsidRPr="007D47A4">
              <w:rPr>
                <w:bCs/>
              </w:rPr>
              <w:t>Наименование оказываемых услуг, выполняемых работ, поставляемых товаров</w:t>
            </w:r>
          </w:p>
        </w:tc>
        <w:tc>
          <w:tcPr>
            <w:tcW w:w="6095" w:type="dxa"/>
          </w:tcPr>
          <w:p w14:paraId="4106076E" w14:textId="7A99250B" w:rsidR="0071093C" w:rsidRPr="009C4C6B" w:rsidRDefault="00502624" w:rsidP="0071093C">
            <w:r w:rsidRPr="009C4C6B">
              <w:t xml:space="preserve">Проведение технического </w:t>
            </w:r>
            <w:r w:rsidR="00DE7DF0" w:rsidRPr="009C4C6B">
              <w:t>освидетельствования котлов,</w:t>
            </w:r>
            <w:r w:rsidR="00A508A5" w:rsidRPr="009C4C6B">
              <w:t xml:space="preserve"> внутреннего трубопровода</w:t>
            </w:r>
            <w:r w:rsidR="00DE7DF0" w:rsidRPr="009C4C6B">
              <w:t xml:space="preserve"> котельной, а также наружной тепловой сети</w:t>
            </w:r>
            <w:r w:rsidR="00A508A5" w:rsidRPr="009C4C6B">
              <w:t xml:space="preserve"> </w:t>
            </w:r>
            <w:r w:rsidR="00361F02" w:rsidRPr="00361F02">
              <w:rPr>
                <w:b/>
                <w:i/>
              </w:rPr>
              <w:t>(далее</w:t>
            </w:r>
            <w:r w:rsidR="00361F02">
              <w:rPr>
                <w:b/>
                <w:i/>
              </w:rPr>
              <w:t xml:space="preserve"> – </w:t>
            </w:r>
            <w:r w:rsidR="00361F02" w:rsidRPr="00361F02">
              <w:rPr>
                <w:b/>
                <w:i/>
              </w:rPr>
              <w:t xml:space="preserve">объектов) </w:t>
            </w:r>
            <w:r w:rsidR="00A508A5" w:rsidRPr="00361F02">
              <w:rPr>
                <w:b/>
                <w:i/>
              </w:rPr>
              <w:t>согласно Приложению №1</w:t>
            </w:r>
            <w:r w:rsidR="00361F02">
              <w:t>:</w:t>
            </w:r>
          </w:p>
          <w:p w14:paraId="17B1E6B3" w14:textId="77777777" w:rsidR="00502624" w:rsidRPr="009C4C6B" w:rsidRDefault="00502624" w:rsidP="00502624">
            <w:pPr>
              <w:pStyle w:val="a3"/>
              <w:numPr>
                <w:ilvl w:val="0"/>
                <w:numId w:val="5"/>
              </w:numPr>
              <w:rPr>
                <w:sz w:val="24"/>
                <w:szCs w:val="24"/>
                <w:lang w:val="en-US"/>
              </w:rPr>
            </w:pPr>
            <w:proofErr w:type="spellStart"/>
            <w:r w:rsidRPr="009C4C6B">
              <w:rPr>
                <w:sz w:val="24"/>
                <w:szCs w:val="24"/>
                <w:lang w:val="en-US"/>
              </w:rPr>
              <w:t>Наружный</w:t>
            </w:r>
            <w:proofErr w:type="spellEnd"/>
            <w:r w:rsidRPr="009C4C6B">
              <w:rPr>
                <w:sz w:val="24"/>
                <w:szCs w:val="24"/>
                <w:lang w:val="en-US"/>
              </w:rPr>
              <w:t xml:space="preserve"> </w:t>
            </w:r>
            <w:proofErr w:type="spellStart"/>
            <w:r w:rsidRPr="009C4C6B">
              <w:rPr>
                <w:sz w:val="24"/>
                <w:szCs w:val="24"/>
                <w:lang w:val="en-US"/>
              </w:rPr>
              <w:t>осмотр</w:t>
            </w:r>
            <w:proofErr w:type="spellEnd"/>
            <w:r w:rsidRPr="009C4C6B">
              <w:rPr>
                <w:sz w:val="24"/>
                <w:szCs w:val="24"/>
                <w:lang w:val="en-US"/>
              </w:rPr>
              <w:t>,</w:t>
            </w:r>
          </w:p>
          <w:p w14:paraId="6B5AAE03" w14:textId="77777777" w:rsidR="00502624" w:rsidRPr="009C4C6B" w:rsidRDefault="00502624" w:rsidP="00502624">
            <w:pPr>
              <w:pStyle w:val="a3"/>
              <w:numPr>
                <w:ilvl w:val="0"/>
                <w:numId w:val="5"/>
              </w:numPr>
              <w:rPr>
                <w:sz w:val="24"/>
                <w:szCs w:val="24"/>
                <w:lang w:val="en-US"/>
              </w:rPr>
            </w:pPr>
            <w:proofErr w:type="spellStart"/>
            <w:r w:rsidRPr="009C4C6B">
              <w:rPr>
                <w:sz w:val="24"/>
                <w:szCs w:val="24"/>
                <w:lang w:val="en-US"/>
              </w:rPr>
              <w:t>Внутренний</w:t>
            </w:r>
            <w:proofErr w:type="spellEnd"/>
            <w:r w:rsidRPr="009C4C6B">
              <w:rPr>
                <w:sz w:val="24"/>
                <w:szCs w:val="24"/>
                <w:lang w:val="en-US"/>
              </w:rPr>
              <w:t xml:space="preserve"> </w:t>
            </w:r>
            <w:proofErr w:type="spellStart"/>
            <w:r w:rsidRPr="009C4C6B">
              <w:rPr>
                <w:sz w:val="24"/>
                <w:szCs w:val="24"/>
                <w:lang w:val="en-US"/>
              </w:rPr>
              <w:t>осмотр</w:t>
            </w:r>
            <w:proofErr w:type="spellEnd"/>
          </w:p>
          <w:p w14:paraId="72405FB4" w14:textId="18A1752A" w:rsidR="00502624" w:rsidRDefault="00502624" w:rsidP="00502624">
            <w:pPr>
              <w:pStyle w:val="a3"/>
              <w:numPr>
                <w:ilvl w:val="0"/>
                <w:numId w:val="5"/>
              </w:numPr>
              <w:rPr>
                <w:sz w:val="24"/>
                <w:szCs w:val="24"/>
                <w:lang w:val="en-US"/>
              </w:rPr>
            </w:pPr>
            <w:proofErr w:type="spellStart"/>
            <w:r w:rsidRPr="009C4C6B">
              <w:rPr>
                <w:sz w:val="24"/>
                <w:szCs w:val="24"/>
                <w:lang w:val="en-US"/>
              </w:rPr>
              <w:t>Гидравлические</w:t>
            </w:r>
            <w:proofErr w:type="spellEnd"/>
            <w:r w:rsidRPr="009C4C6B">
              <w:rPr>
                <w:sz w:val="24"/>
                <w:szCs w:val="24"/>
                <w:lang w:val="en-US"/>
              </w:rPr>
              <w:t xml:space="preserve"> </w:t>
            </w:r>
            <w:proofErr w:type="spellStart"/>
            <w:r w:rsidRPr="009C4C6B">
              <w:rPr>
                <w:sz w:val="24"/>
                <w:szCs w:val="24"/>
                <w:lang w:val="en-US"/>
              </w:rPr>
              <w:t>испытания</w:t>
            </w:r>
            <w:proofErr w:type="spellEnd"/>
          </w:p>
          <w:p w14:paraId="051885A8" w14:textId="299ED44F" w:rsidR="008B0BCE" w:rsidRPr="008B0BCE" w:rsidRDefault="008B0BCE" w:rsidP="008B0BCE">
            <w:pPr>
              <w:pStyle w:val="a3"/>
              <w:numPr>
                <w:ilvl w:val="0"/>
                <w:numId w:val="5"/>
              </w:numPr>
              <w:rPr>
                <w:sz w:val="24"/>
                <w:szCs w:val="24"/>
              </w:rPr>
            </w:pPr>
            <w:r w:rsidRPr="008B0BCE">
              <w:rPr>
                <w:sz w:val="24"/>
                <w:szCs w:val="24"/>
              </w:rPr>
              <w:t>Техническое</w:t>
            </w:r>
            <w:r w:rsidRPr="008B0BCE">
              <w:rPr>
                <w:sz w:val="24"/>
                <w:szCs w:val="24"/>
                <w:lang w:val="en-US"/>
              </w:rPr>
              <w:t> </w:t>
            </w:r>
            <w:r w:rsidRPr="008B0BCE">
              <w:rPr>
                <w:sz w:val="24"/>
                <w:szCs w:val="24"/>
              </w:rPr>
              <w:t>освидетельствование</w:t>
            </w:r>
            <w:r w:rsidRPr="008B0BCE">
              <w:rPr>
                <w:sz w:val="24"/>
                <w:szCs w:val="24"/>
                <w:lang w:val="en-US"/>
              </w:rPr>
              <w:t> </w:t>
            </w:r>
            <w:proofErr w:type="spellStart"/>
            <w:r w:rsidRPr="008B0BCE">
              <w:rPr>
                <w:sz w:val="24"/>
                <w:szCs w:val="24"/>
              </w:rPr>
              <w:t>металлоконст</w:t>
            </w:r>
            <w:r w:rsidR="00FF57E3">
              <w:rPr>
                <w:sz w:val="24"/>
                <w:szCs w:val="24"/>
              </w:rPr>
              <w:t>-</w:t>
            </w:r>
            <w:r w:rsidRPr="008B0BCE">
              <w:rPr>
                <w:sz w:val="24"/>
                <w:szCs w:val="24"/>
              </w:rPr>
              <w:t>рукций</w:t>
            </w:r>
            <w:proofErr w:type="spellEnd"/>
            <w:r w:rsidRPr="008B0BCE">
              <w:rPr>
                <w:sz w:val="24"/>
                <w:szCs w:val="24"/>
              </w:rPr>
              <w:t xml:space="preserve"> каркаса</w:t>
            </w:r>
            <w:r w:rsidRPr="008B0BCE">
              <w:rPr>
                <w:sz w:val="24"/>
                <w:szCs w:val="24"/>
                <w:lang w:val="en-US"/>
              </w:rPr>
              <w:t> </w:t>
            </w:r>
            <w:r w:rsidRPr="008B0BCE">
              <w:rPr>
                <w:sz w:val="24"/>
                <w:szCs w:val="24"/>
              </w:rPr>
              <w:t>котла</w:t>
            </w:r>
            <w:r w:rsidRPr="008B0BCE">
              <w:rPr>
                <w:sz w:val="24"/>
                <w:szCs w:val="24"/>
                <w:lang w:val="en-US"/>
              </w:rPr>
              <w:t> </w:t>
            </w:r>
            <w:r w:rsidR="00361F02">
              <w:rPr>
                <w:sz w:val="24"/>
                <w:szCs w:val="24"/>
              </w:rPr>
              <w:t xml:space="preserve">с составлением отчета </w:t>
            </w:r>
            <w:r w:rsidR="00361F02" w:rsidRPr="00361F02">
              <w:rPr>
                <w:b/>
                <w:i/>
                <w:sz w:val="24"/>
                <w:szCs w:val="24"/>
              </w:rPr>
              <w:t>(согласно Приложени</w:t>
            </w:r>
            <w:r w:rsidR="00361F02">
              <w:rPr>
                <w:b/>
                <w:i/>
                <w:sz w:val="24"/>
                <w:szCs w:val="24"/>
              </w:rPr>
              <w:t>ю</w:t>
            </w:r>
            <w:r w:rsidR="00361F02" w:rsidRPr="00361F02">
              <w:rPr>
                <w:b/>
                <w:i/>
                <w:sz w:val="24"/>
                <w:szCs w:val="24"/>
              </w:rPr>
              <w:t xml:space="preserve"> №3)</w:t>
            </w:r>
          </w:p>
          <w:p w14:paraId="40C4831D" w14:textId="393B4643" w:rsidR="00502624" w:rsidRPr="00502624" w:rsidRDefault="00502624" w:rsidP="00502624">
            <w:pPr>
              <w:pStyle w:val="a3"/>
              <w:ind w:left="40"/>
              <w:rPr>
                <w:color w:val="808080" w:themeColor="background1" w:themeShade="80"/>
              </w:rPr>
            </w:pPr>
            <w:r w:rsidRPr="009C4C6B">
              <w:rPr>
                <w:sz w:val="24"/>
                <w:szCs w:val="24"/>
              </w:rPr>
              <w:t xml:space="preserve">с записью в паспортах </w:t>
            </w:r>
            <w:r w:rsidR="00A508A5" w:rsidRPr="009C4C6B">
              <w:rPr>
                <w:sz w:val="24"/>
                <w:szCs w:val="24"/>
              </w:rPr>
              <w:t>оборудования</w:t>
            </w:r>
            <w:r w:rsidR="00361F02">
              <w:rPr>
                <w:sz w:val="24"/>
                <w:szCs w:val="24"/>
              </w:rPr>
              <w:t xml:space="preserve"> </w:t>
            </w:r>
            <w:r w:rsidR="00361F02" w:rsidRPr="00361F02">
              <w:rPr>
                <w:b/>
                <w:i/>
                <w:sz w:val="24"/>
                <w:szCs w:val="24"/>
              </w:rPr>
              <w:t>(согласно Приложени</w:t>
            </w:r>
            <w:r w:rsidR="00361F02">
              <w:rPr>
                <w:b/>
                <w:i/>
                <w:sz w:val="24"/>
                <w:szCs w:val="24"/>
              </w:rPr>
              <w:t>ю</w:t>
            </w:r>
            <w:r w:rsidR="00361F02" w:rsidRPr="00361F02">
              <w:rPr>
                <w:b/>
                <w:i/>
                <w:sz w:val="24"/>
                <w:szCs w:val="24"/>
              </w:rPr>
              <w:t xml:space="preserve"> № 2)</w:t>
            </w:r>
          </w:p>
        </w:tc>
      </w:tr>
      <w:tr w:rsidR="007A7F48" w:rsidRPr="002E34B1" w14:paraId="7A56C83B" w14:textId="77777777" w:rsidTr="00C15EC1">
        <w:tc>
          <w:tcPr>
            <w:tcW w:w="710" w:type="dxa"/>
            <w:vAlign w:val="center"/>
          </w:tcPr>
          <w:p w14:paraId="2AE1ECE0" w14:textId="77777777" w:rsidR="007A7F48" w:rsidRPr="002E34B1" w:rsidRDefault="007A7F48" w:rsidP="007A7F48">
            <w:pPr>
              <w:pStyle w:val="a3"/>
              <w:numPr>
                <w:ilvl w:val="0"/>
                <w:numId w:val="1"/>
              </w:numPr>
              <w:spacing w:after="0" w:line="360" w:lineRule="auto"/>
              <w:jc w:val="center"/>
              <w:rPr>
                <w:b/>
                <w:color w:val="0D0D0D" w:themeColor="text1" w:themeTint="F2"/>
                <w:sz w:val="24"/>
                <w:szCs w:val="24"/>
              </w:rPr>
            </w:pPr>
          </w:p>
        </w:tc>
        <w:tc>
          <w:tcPr>
            <w:tcW w:w="3399" w:type="dxa"/>
            <w:vAlign w:val="center"/>
          </w:tcPr>
          <w:p w14:paraId="38491289" w14:textId="77777777" w:rsidR="007A7F48" w:rsidRPr="000E42C4" w:rsidRDefault="007A7F48" w:rsidP="00C15EC1">
            <w:pPr>
              <w:spacing w:line="360" w:lineRule="auto"/>
              <w:jc w:val="center"/>
              <w:rPr>
                <w:bCs/>
              </w:rPr>
            </w:pPr>
            <w:r w:rsidRPr="000E42C4">
              <w:rPr>
                <w:bCs/>
              </w:rPr>
              <w:t>Цель оказания услуг, работ, поставки товаров</w:t>
            </w:r>
          </w:p>
        </w:tc>
        <w:tc>
          <w:tcPr>
            <w:tcW w:w="6095" w:type="dxa"/>
          </w:tcPr>
          <w:p w14:paraId="6A4773BA" w14:textId="77777777" w:rsidR="00CE49D5" w:rsidRPr="000E42C4" w:rsidRDefault="00CE49D5" w:rsidP="00CE49D5">
            <w:bookmarkStart w:id="2" w:name="_Hlk109646213"/>
            <w:r w:rsidRPr="000E42C4">
              <w:t>Во исполнение следующих нормативных документов:</w:t>
            </w:r>
          </w:p>
          <w:p w14:paraId="4A3E0CA1" w14:textId="77777777" w:rsidR="007A7F48" w:rsidRPr="000E42C4" w:rsidRDefault="00502624" w:rsidP="00CC35A1">
            <w:r w:rsidRPr="000E42C4">
              <w:t>(п.409</w:t>
            </w:r>
            <w:r w:rsidR="0094518D" w:rsidRPr="000E42C4">
              <w:t>, 448(а)</w:t>
            </w:r>
            <w:r w:rsidRPr="000E42C4">
              <w:t xml:space="preserve"> Приказа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bookmarkEnd w:id="2"/>
          <w:p w14:paraId="4977586D" w14:textId="77777777" w:rsidR="000E42C4" w:rsidRPr="000E42C4" w:rsidRDefault="000E42C4" w:rsidP="000E42C4">
            <w:pPr>
              <w:jc w:val="both"/>
              <w:rPr>
                <w:i/>
                <w:iCs/>
              </w:rPr>
            </w:pPr>
            <w:r w:rsidRPr="000E42C4">
              <w:rPr>
                <w:i/>
                <w:iCs/>
              </w:rPr>
              <w:t>Наружный и внутренний осмотры имеют целью:</w:t>
            </w:r>
          </w:p>
          <w:p w14:paraId="02882292" w14:textId="77777777" w:rsidR="000E42C4" w:rsidRPr="000E42C4" w:rsidRDefault="000E42C4" w:rsidP="000E42C4">
            <w:pPr>
              <w:jc w:val="both"/>
              <w:rPr>
                <w:i/>
                <w:iCs/>
              </w:rPr>
            </w:pPr>
            <w:r w:rsidRPr="000E42C4">
              <w:rPr>
                <w:i/>
                <w:iCs/>
              </w:rPr>
              <w:t>а) при первичном освидетельствовании проверить, что объект котлонадзора установлен и оборудован в соответствии с Правилами и представленными при регистрации документами, а также что объект котлонадзора и его элементы не имеют повреждений;</w:t>
            </w:r>
          </w:p>
          <w:p w14:paraId="3BA2EDC4" w14:textId="77777777" w:rsidR="000E42C4" w:rsidRPr="000E42C4" w:rsidRDefault="000E42C4" w:rsidP="000E42C4">
            <w:pPr>
              <w:jc w:val="both"/>
              <w:rPr>
                <w:i/>
                <w:iCs/>
              </w:rPr>
            </w:pPr>
            <w:r w:rsidRPr="000E42C4">
              <w:rPr>
                <w:i/>
                <w:iCs/>
              </w:rPr>
              <w:t>б) при периодических и внеочередных освидетельствованиях установить исправность объекта котлонадзора и возможность его дальнейшей работы.</w:t>
            </w:r>
          </w:p>
          <w:p w14:paraId="748850EB" w14:textId="77777777" w:rsidR="000E42C4" w:rsidRPr="000E42C4" w:rsidRDefault="000E42C4" w:rsidP="000E42C4">
            <w:pPr>
              <w:jc w:val="both"/>
              <w:rPr>
                <w:i/>
                <w:iCs/>
              </w:rPr>
            </w:pPr>
            <w:r w:rsidRPr="000E42C4">
              <w:rPr>
                <w:i/>
                <w:iCs/>
              </w:rPr>
              <w:t xml:space="preserve">При наружном и внутреннем осмотрах объекта котлонадзора должно быть обращено внимание на выявление возможных трещин, надрывов, </w:t>
            </w:r>
            <w:proofErr w:type="spellStart"/>
            <w:r w:rsidRPr="000E42C4">
              <w:rPr>
                <w:i/>
                <w:iCs/>
              </w:rPr>
              <w:t>отдулин</w:t>
            </w:r>
            <w:proofErr w:type="spellEnd"/>
            <w:r w:rsidRPr="000E42C4">
              <w:rPr>
                <w:i/>
                <w:iCs/>
              </w:rPr>
              <w:t xml:space="preserve">, </w:t>
            </w:r>
            <w:proofErr w:type="spellStart"/>
            <w:r w:rsidRPr="000E42C4">
              <w:rPr>
                <w:i/>
                <w:iCs/>
              </w:rPr>
              <w:t>выпучин</w:t>
            </w:r>
            <w:proofErr w:type="spellEnd"/>
            <w:r w:rsidRPr="000E42C4">
              <w:rPr>
                <w:i/>
                <w:iCs/>
              </w:rPr>
              <w:t xml:space="preserve"> и коррозии на внутренних и наружных поверхностях стенок, следов пропаривания и пропусков в сварных, заклепочных и вальцовочных соединениях, а также повреждений обмуровки, могущих вызвать опасность перегрева металла элементов котла.</w:t>
            </w:r>
          </w:p>
          <w:p w14:paraId="1CBF61E4" w14:textId="77777777" w:rsidR="000E42C4" w:rsidRDefault="000E42C4" w:rsidP="000E42C4">
            <w:pPr>
              <w:rPr>
                <w:i/>
                <w:iCs/>
              </w:rPr>
            </w:pPr>
            <w:r w:rsidRPr="000E42C4">
              <w:rPr>
                <w:i/>
                <w:iCs/>
              </w:rPr>
              <w:t>Гидравлическое испытание имеет целью проверку прочности элементов объекта котлонадзора и плотности соединений.</w:t>
            </w:r>
          </w:p>
          <w:p w14:paraId="085F1C23" w14:textId="77777777" w:rsidR="008B0BCE" w:rsidRPr="008B0BCE" w:rsidRDefault="008B0BCE" w:rsidP="008B0BCE">
            <w:pPr>
              <w:rPr>
                <w:i/>
              </w:rPr>
            </w:pPr>
            <w:r w:rsidRPr="008B0BCE">
              <w:rPr>
                <w:i/>
              </w:rPr>
              <w:lastRenderedPageBreak/>
              <w:t>Техническому освидетельствованию в составе каркаса подлежат:</w:t>
            </w:r>
          </w:p>
          <w:p w14:paraId="499BC6F0" w14:textId="77777777" w:rsidR="008B0BCE" w:rsidRPr="008B0BCE" w:rsidRDefault="008B0BCE" w:rsidP="008B0BCE">
            <w:pPr>
              <w:rPr>
                <w:i/>
              </w:rPr>
            </w:pPr>
            <w:r w:rsidRPr="008B0BCE">
              <w:rPr>
                <w:i/>
              </w:rPr>
              <w:t>несущие элементы каркаса и потолочного перекрытия, обеспечивающие прочность и жесткость конструкции (колонны, ригели, связи, хребтовые балки, обвязочные балки потолочного перекрытия);</w:t>
            </w:r>
          </w:p>
          <w:p w14:paraId="782BBB21" w14:textId="77777777" w:rsidR="008B0BCE" w:rsidRPr="008B0BCE" w:rsidRDefault="008B0BCE" w:rsidP="008B0BCE">
            <w:pPr>
              <w:rPr>
                <w:i/>
              </w:rPr>
            </w:pPr>
          </w:p>
          <w:p w14:paraId="40B6C7F1" w14:textId="77777777" w:rsidR="008B0BCE" w:rsidRPr="008B0BCE" w:rsidRDefault="008B0BCE" w:rsidP="008B0BCE">
            <w:pPr>
              <w:rPr>
                <w:i/>
              </w:rPr>
            </w:pPr>
            <w:r w:rsidRPr="008B0BCE">
              <w:rPr>
                <w:i/>
              </w:rPr>
              <w:t xml:space="preserve">ответственные расчетные элементы, </w:t>
            </w:r>
            <w:proofErr w:type="gramStart"/>
            <w:r w:rsidRPr="008B0BCE">
              <w:rPr>
                <w:i/>
              </w:rPr>
              <w:t>повреждение</w:t>
            </w:r>
            <w:proofErr w:type="gramEnd"/>
            <w:r w:rsidRPr="008B0BCE">
              <w:rPr>
                <w:i/>
              </w:rPr>
              <w:t xml:space="preserve"> одного из которых может вызвать аварийную ситуацию;</w:t>
            </w:r>
          </w:p>
          <w:p w14:paraId="3F213235" w14:textId="77777777" w:rsidR="008B0BCE" w:rsidRPr="008B0BCE" w:rsidRDefault="008B0BCE" w:rsidP="008B0BCE">
            <w:pPr>
              <w:rPr>
                <w:i/>
              </w:rPr>
            </w:pPr>
          </w:p>
          <w:p w14:paraId="778FE3EE" w14:textId="77777777" w:rsidR="008B0BCE" w:rsidRPr="008B0BCE" w:rsidRDefault="008B0BCE" w:rsidP="008B0BCE">
            <w:pPr>
              <w:rPr>
                <w:i/>
              </w:rPr>
            </w:pPr>
            <w:r w:rsidRPr="008B0BCE">
              <w:rPr>
                <w:i/>
              </w:rPr>
              <w:t xml:space="preserve">другие расчетные элементы, </w:t>
            </w:r>
            <w:proofErr w:type="gramStart"/>
            <w:r w:rsidRPr="008B0BCE">
              <w:rPr>
                <w:i/>
              </w:rPr>
              <w:t>повреждения</w:t>
            </w:r>
            <w:proofErr w:type="gramEnd"/>
            <w:r w:rsidRPr="008B0BCE">
              <w:rPr>
                <w:i/>
              </w:rPr>
              <w:t xml:space="preserve"> одного из которых не отражаются на безопасной эксплуатации котла в целом; пояса жесткости, элементы обшивки и бункера, </w:t>
            </w:r>
            <w:proofErr w:type="spellStart"/>
            <w:r w:rsidRPr="008B0BCE">
              <w:rPr>
                <w:i/>
              </w:rPr>
              <w:t>фасонки</w:t>
            </w:r>
            <w:proofErr w:type="spellEnd"/>
            <w:r w:rsidRPr="008B0BCE">
              <w:rPr>
                <w:i/>
              </w:rPr>
              <w:t xml:space="preserve"> ферм.</w:t>
            </w:r>
          </w:p>
          <w:p w14:paraId="66282901" w14:textId="77777777" w:rsidR="008B0BCE" w:rsidRPr="008B0BCE" w:rsidRDefault="008B0BCE" w:rsidP="008B0BCE">
            <w:pPr>
              <w:rPr>
                <w:i/>
              </w:rPr>
            </w:pPr>
          </w:p>
          <w:p w14:paraId="6658DE58" w14:textId="2DB9FBD5" w:rsidR="008B0BCE" w:rsidRPr="008B0BCE" w:rsidRDefault="008B0BCE" w:rsidP="008B0BCE">
            <w:pPr>
              <w:rPr>
                <w:i/>
              </w:rPr>
            </w:pPr>
            <w:r w:rsidRPr="008B0BCE">
              <w:rPr>
                <w:i/>
              </w:rPr>
              <w:t>В котлах без несущего каркаса (</w:t>
            </w:r>
            <w:proofErr w:type="spellStart"/>
            <w:r w:rsidRPr="008B0BCE">
              <w:rPr>
                <w:i/>
              </w:rPr>
              <w:t>самоопорных</w:t>
            </w:r>
            <w:proofErr w:type="spellEnd"/>
            <w:r w:rsidRPr="008B0BCE">
              <w:rPr>
                <w:i/>
              </w:rPr>
              <w:t>) техническому освидетельствованию подлежат опорные конструкции (узлы) поверхностей нагрева, коллекторов и барабанов.</w:t>
            </w:r>
          </w:p>
        </w:tc>
      </w:tr>
      <w:tr w:rsidR="007A7F48" w:rsidRPr="002E34B1" w14:paraId="1C0B41DC" w14:textId="77777777" w:rsidTr="00C15EC1">
        <w:tc>
          <w:tcPr>
            <w:tcW w:w="710" w:type="dxa"/>
            <w:vAlign w:val="center"/>
          </w:tcPr>
          <w:p w14:paraId="6E4C7FB5" w14:textId="77777777" w:rsidR="007A7F48" w:rsidRPr="002E34B1" w:rsidRDefault="007A7F48" w:rsidP="007A7F48">
            <w:pPr>
              <w:pStyle w:val="a3"/>
              <w:numPr>
                <w:ilvl w:val="0"/>
                <w:numId w:val="1"/>
              </w:numPr>
              <w:spacing w:after="0" w:line="360" w:lineRule="auto"/>
              <w:jc w:val="center"/>
              <w:rPr>
                <w:b/>
                <w:sz w:val="24"/>
                <w:szCs w:val="24"/>
              </w:rPr>
            </w:pPr>
          </w:p>
        </w:tc>
        <w:tc>
          <w:tcPr>
            <w:tcW w:w="3399" w:type="dxa"/>
            <w:vAlign w:val="center"/>
          </w:tcPr>
          <w:p w14:paraId="07CC41C3" w14:textId="77777777" w:rsidR="007A7F48" w:rsidRPr="007D47A4" w:rsidRDefault="007A7F48" w:rsidP="00C15EC1">
            <w:pPr>
              <w:spacing w:line="360" w:lineRule="auto"/>
              <w:jc w:val="center"/>
              <w:rPr>
                <w:bCs/>
              </w:rPr>
            </w:pPr>
            <w:r w:rsidRPr="007D47A4">
              <w:rPr>
                <w:bCs/>
              </w:rPr>
              <w:t>Наименование производственного объекта и его расположение</w:t>
            </w:r>
            <w:r>
              <w:rPr>
                <w:bCs/>
              </w:rPr>
              <w:t>, адрес поставки</w:t>
            </w:r>
          </w:p>
        </w:tc>
        <w:tc>
          <w:tcPr>
            <w:tcW w:w="6095" w:type="dxa"/>
          </w:tcPr>
          <w:p w14:paraId="0EE33D59" w14:textId="178B4C55" w:rsidR="007A7F48" w:rsidRPr="00432B1B" w:rsidRDefault="0094518D" w:rsidP="00CE49D5">
            <w:r>
              <w:t>Информация по объектам отражена в Приложении №1</w:t>
            </w:r>
          </w:p>
          <w:p w14:paraId="420384D2" w14:textId="6F6849C7" w:rsidR="00502624" w:rsidRPr="00502624" w:rsidRDefault="00502624" w:rsidP="00CE49D5">
            <w:pPr>
              <w:rPr>
                <w:color w:val="808080" w:themeColor="background1" w:themeShade="80"/>
              </w:rPr>
            </w:pPr>
          </w:p>
        </w:tc>
      </w:tr>
      <w:tr w:rsidR="007A7F48" w:rsidRPr="002E34B1" w14:paraId="018FE29C" w14:textId="77777777" w:rsidTr="00C15EC1">
        <w:tc>
          <w:tcPr>
            <w:tcW w:w="710" w:type="dxa"/>
            <w:vAlign w:val="center"/>
          </w:tcPr>
          <w:p w14:paraId="76EA5907" w14:textId="77777777" w:rsidR="007A7F48" w:rsidRPr="002E34B1" w:rsidRDefault="007A7F48" w:rsidP="007A7F48">
            <w:pPr>
              <w:pStyle w:val="a3"/>
              <w:numPr>
                <w:ilvl w:val="0"/>
                <w:numId w:val="1"/>
              </w:numPr>
              <w:spacing w:after="0" w:line="360" w:lineRule="auto"/>
              <w:jc w:val="center"/>
              <w:rPr>
                <w:b/>
                <w:sz w:val="24"/>
                <w:szCs w:val="24"/>
              </w:rPr>
            </w:pPr>
          </w:p>
        </w:tc>
        <w:tc>
          <w:tcPr>
            <w:tcW w:w="3399" w:type="dxa"/>
            <w:vAlign w:val="center"/>
          </w:tcPr>
          <w:p w14:paraId="17666605" w14:textId="77777777" w:rsidR="007A7F48" w:rsidRPr="007D47A4" w:rsidRDefault="007A7F48" w:rsidP="00C15EC1">
            <w:pPr>
              <w:spacing w:line="360" w:lineRule="auto"/>
              <w:jc w:val="center"/>
              <w:rPr>
                <w:bCs/>
              </w:rPr>
            </w:pPr>
            <w:r w:rsidRPr="007D47A4">
              <w:rPr>
                <w:bCs/>
              </w:rPr>
              <w:t>Срок оказания услуг, работ, поставки товаров</w:t>
            </w:r>
          </w:p>
        </w:tc>
        <w:tc>
          <w:tcPr>
            <w:tcW w:w="6095" w:type="dxa"/>
          </w:tcPr>
          <w:p w14:paraId="35E17EBE" w14:textId="7630DCE9" w:rsidR="0094518D" w:rsidRDefault="00A07C86" w:rsidP="00A32DCD">
            <w:r w:rsidRPr="008F6E44">
              <w:t xml:space="preserve">Начало – с момента начала оказания услуг по договору, </w:t>
            </w:r>
            <w:r w:rsidR="0087220A">
              <w:t>Срок – проведение освидетельствования вместе с оформлением результатов работ</w:t>
            </w:r>
            <w:r w:rsidR="000648E6">
              <w:t xml:space="preserve"> точно в срок по графику</w:t>
            </w:r>
            <w:r w:rsidR="00361F02">
              <w:t xml:space="preserve"> </w:t>
            </w:r>
            <w:r w:rsidR="00361F02" w:rsidRPr="00361F02">
              <w:rPr>
                <w:b/>
                <w:i/>
              </w:rPr>
              <w:t>(Приложение №1)</w:t>
            </w:r>
            <w:r w:rsidR="000648E6">
              <w:t>, или перенос сроков по заранее согласованному письму.</w:t>
            </w:r>
          </w:p>
          <w:p w14:paraId="4E6486B0" w14:textId="24D5C94C" w:rsidR="008F6E44" w:rsidRPr="003853EA" w:rsidRDefault="0094518D" w:rsidP="00A32DCD">
            <w:r>
              <w:t>Срок действия договора до 31.12.202</w:t>
            </w:r>
            <w:r w:rsidR="00FF57E3">
              <w:t>6</w:t>
            </w:r>
            <w:r>
              <w:t>г.</w:t>
            </w:r>
            <w:r w:rsidR="003853EA" w:rsidRPr="003853EA">
              <w:t xml:space="preserve"> </w:t>
            </w:r>
          </w:p>
        </w:tc>
      </w:tr>
      <w:tr w:rsidR="007A7F48" w:rsidRPr="002E34B1" w14:paraId="09D0C8E4" w14:textId="77777777" w:rsidTr="00C15EC1">
        <w:tc>
          <w:tcPr>
            <w:tcW w:w="710" w:type="dxa"/>
            <w:vAlign w:val="center"/>
          </w:tcPr>
          <w:p w14:paraId="07F537E4" w14:textId="77777777" w:rsidR="007A7F48" w:rsidRPr="002E34B1" w:rsidRDefault="007A7F48" w:rsidP="007A7F48">
            <w:pPr>
              <w:pStyle w:val="a3"/>
              <w:numPr>
                <w:ilvl w:val="0"/>
                <w:numId w:val="1"/>
              </w:numPr>
              <w:spacing w:after="0" w:line="360" w:lineRule="auto"/>
              <w:jc w:val="center"/>
              <w:rPr>
                <w:b/>
                <w:sz w:val="24"/>
                <w:szCs w:val="24"/>
              </w:rPr>
            </w:pPr>
          </w:p>
        </w:tc>
        <w:tc>
          <w:tcPr>
            <w:tcW w:w="3399" w:type="dxa"/>
            <w:vAlign w:val="center"/>
          </w:tcPr>
          <w:p w14:paraId="656DE8AA" w14:textId="77777777" w:rsidR="007A7F48" w:rsidRPr="007D47A4" w:rsidRDefault="007A7F48" w:rsidP="00C15EC1">
            <w:pPr>
              <w:spacing w:line="360" w:lineRule="auto"/>
              <w:jc w:val="center"/>
              <w:rPr>
                <w:bCs/>
              </w:rPr>
            </w:pPr>
            <w:r w:rsidRPr="007D47A4">
              <w:rPr>
                <w:bCs/>
              </w:rPr>
              <w:t xml:space="preserve">Порядок оказания услуг работ, поставки товара </w:t>
            </w:r>
          </w:p>
        </w:tc>
        <w:tc>
          <w:tcPr>
            <w:tcW w:w="6095" w:type="dxa"/>
          </w:tcPr>
          <w:p w14:paraId="09E3C9B1" w14:textId="6ABED9C2" w:rsidR="0094518D" w:rsidRDefault="00432B1B" w:rsidP="008B0BCE">
            <w:pPr>
              <w:pStyle w:val="a3"/>
              <w:ind w:left="182" w:firstLine="284"/>
              <w:rPr>
                <w:sz w:val="24"/>
              </w:rPr>
            </w:pPr>
            <w:r w:rsidRPr="0094518D">
              <w:rPr>
                <w:sz w:val="24"/>
              </w:rPr>
              <w:t xml:space="preserve">Провести техническое освидетельствование </w:t>
            </w:r>
            <w:r w:rsidR="0094518D">
              <w:rPr>
                <w:sz w:val="24"/>
              </w:rPr>
              <w:t xml:space="preserve">согласно </w:t>
            </w:r>
            <w:r w:rsidR="0094518D" w:rsidRPr="0094518D">
              <w:rPr>
                <w:sz w:val="24"/>
              </w:rPr>
              <w:t>п.409, 448(а)</w:t>
            </w:r>
            <w:r w:rsidR="008B0BCE">
              <w:rPr>
                <w:sz w:val="24"/>
              </w:rPr>
              <w:t>, 419</w:t>
            </w:r>
            <w:r w:rsidR="0094518D" w:rsidRPr="0094518D">
              <w:rPr>
                <w:sz w:val="24"/>
              </w:rPr>
              <w:t xml:space="preserve"> Приказа Ростехнадзора от 15.12.2020 N 536</w:t>
            </w:r>
          </w:p>
          <w:p w14:paraId="2ADACE62" w14:textId="670A1C12" w:rsidR="0094518D" w:rsidRDefault="00432B1B" w:rsidP="0094518D">
            <w:pPr>
              <w:pStyle w:val="a3"/>
              <w:ind w:left="466"/>
              <w:rPr>
                <w:sz w:val="24"/>
              </w:rPr>
            </w:pPr>
            <w:r w:rsidRPr="0094518D">
              <w:rPr>
                <w:sz w:val="24"/>
              </w:rPr>
              <w:t>Наружный осмотр,</w:t>
            </w:r>
          </w:p>
          <w:p w14:paraId="53A9AD1F" w14:textId="3E5DADA1" w:rsidR="00432B1B" w:rsidRPr="0094518D" w:rsidRDefault="00432B1B" w:rsidP="0094518D">
            <w:pPr>
              <w:pStyle w:val="a3"/>
              <w:ind w:left="466"/>
              <w:rPr>
                <w:sz w:val="24"/>
              </w:rPr>
            </w:pPr>
            <w:r w:rsidRPr="0094518D">
              <w:rPr>
                <w:sz w:val="24"/>
              </w:rPr>
              <w:t>Внутренний осмотр</w:t>
            </w:r>
          </w:p>
          <w:p w14:paraId="2F634E83" w14:textId="36B4C6DC" w:rsidR="00432B1B" w:rsidRDefault="00432B1B" w:rsidP="0094518D">
            <w:pPr>
              <w:pStyle w:val="a3"/>
              <w:ind w:left="182" w:firstLine="284"/>
              <w:rPr>
                <w:sz w:val="24"/>
              </w:rPr>
            </w:pPr>
            <w:r w:rsidRPr="0094518D">
              <w:rPr>
                <w:sz w:val="24"/>
              </w:rPr>
              <w:t>Гидравлические испытания</w:t>
            </w:r>
          </w:p>
          <w:p w14:paraId="503DC887" w14:textId="6A026704" w:rsidR="008B0BCE" w:rsidRDefault="008B0BCE" w:rsidP="0094518D">
            <w:pPr>
              <w:pStyle w:val="a3"/>
              <w:ind w:left="182" w:firstLine="284"/>
              <w:rPr>
                <w:sz w:val="24"/>
              </w:rPr>
            </w:pPr>
            <w:r w:rsidRPr="008B0BCE">
              <w:rPr>
                <w:sz w:val="24"/>
              </w:rPr>
              <w:t>Техническое освидетельствование</w:t>
            </w:r>
            <w:r>
              <w:rPr>
                <w:sz w:val="24"/>
              </w:rPr>
              <w:t xml:space="preserve"> </w:t>
            </w:r>
            <w:r w:rsidRPr="008B0BCE">
              <w:rPr>
                <w:sz w:val="24"/>
              </w:rPr>
              <w:t>металлоконструкций каркаса котла</w:t>
            </w:r>
          </w:p>
          <w:p w14:paraId="1A1FFFC2" w14:textId="4ECC2512" w:rsidR="00A32DCD" w:rsidRPr="00361F02" w:rsidRDefault="00432B1B" w:rsidP="0094518D">
            <w:pPr>
              <w:pStyle w:val="a3"/>
              <w:numPr>
                <w:ilvl w:val="0"/>
                <w:numId w:val="3"/>
              </w:numPr>
              <w:ind w:left="182" w:firstLine="284"/>
              <w:rPr>
                <w:color w:val="808080" w:themeColor="background1" w:themeShade="80"/>
              </w:rPr>
            </w:pPr>
            <w:r w:rsidRPr="0094518D">
              <w:rPr>
                <w:sz w:val="24"/>
              </w:rPr>
              <w:t xml:space="preserve">Оформить результаты освидетельствования записью в паспортах </w:t>
            </w:r>
            <w:r w:rsidR="0094518D">
              <w:rPr>
                <w:sz w:val="24"/>
              </w:rPr>
              <w:t>оборудования</w:t>
            </w:r>
            <w:r w:rsidR="0094518D" w:rsidRPr="00361F02">
              <w:rPr>
                <w:b/>
                <w:i/>
                <w:sz w:val="24"/>
              </w:rPr>
              <w:t>.</w:t>
            </w:r>
            <w:r w:rsidR="00361F02" w:rsidRPr="00361F02">
              <w:rPr>
                <w:b/>
                <w:i/>
                <w:sz w:val="24"/>
              </w:rPr>
              <w:t xml:space="preserve"> (Приложение №2)</w:t>
            </w:r>
          </w:p>
          <w:p w14:paraId="4483A7FF" w14:textId="1AFBB2BC" w:rsidR="00361F02" w:rsidRPr="00A32DCD" w:rsidRDefault="00361F02" w:rsidP="0094518D">
            <w:pPr>
              <w:pStyle w:val="a3"/>
              <w:numPr>
                <w:ilvl w:val="0"/>
                <w:numId w:val="3"/>
              </w:numPr>
              <w:ind w:left="182" w:firstLine="284"/>
              <w:rPr>
                <w:color w:val="808080" w:themeColor="background1" w:themeShade="80"/>
              </w:rPr>
            </w:pPr>
            <w:r w:rsidRPr="00361F02">
              <w:rPr>
                <w:sz w:val="24"/>
              </w:rPr>
              <w:t xml:space="preserve">Составить отчет по результатам технического освидетельствования металлоконструкций каркаса котла </w:t>
            </w:r>
            <w:r w:rsidRPr="00361F02">
              <w:rPr>
                <w:b/>
                <w:i/>
                <w:sz w:val="24"/>
              </w:rPr>
              <w:t>(Приложение №3)</w:t>
            </w:r>
          </w:p>
        </w:tc>
      </w:tr>
      <w:tr w:rsidR="00B06BF2" w:rsidRPr="002E34B1" w14:paraId="623AEBB2" w14:textId="77777777" w:rsidTr="00C15EC1">
        <w:tc>
          <w:tcPr>
            <w:tcW w:w="710" w:type="dxa"/>
            <w:vAlign w:val="center"/>
          </w:tcPr>
          <w:p w14:paraId="0C931A61" w14:textId="77777777" w:rsidR="00B06BF2" w:rsidRPr="002E34B1" w:rsidRDefault="00B06BF2" w:rsidP="00B06BF2">
            <w:pPr>
              <w:pStyle w:val="a3"/>
              <w:numPr>
                <w:ilvl w:val="0"/>
                <w:numId w:val="1"/>
              </w:numPr>
              <w:spacing w:after="0" w:line="360" w:lineRule="auto"/>
              <w:jc w:val="center"/>
              <w:rPr>
                <w:b/>
                <w:sz w:val="24"/>
                <w:szCs w:val="24"/>
              </w:rPr>
            </w:pPr>
          </w:p>
        </w:tc>
        <w:tc>
          <w:tcPr>
            <w:tcW w:w="3399" w:type="dxa"/>
            <w:vAlign w:val="center"/>
          </w:tcPr>
          <w:p w14:paraId="0267A667" w14:textId="5564BE2A" w:rsidR="00B06BF2" w:rsidRPr="007D47A4" w:rsidRDefault="00B06BF2" w:rsidP="00B06BF2">
            <w:pPr>
              <w:spacing w:line="360" w:lineRule="auto"/>
              <w:jc w:val="center"/>
              <w:rPr>
                <w:bCs/>
              </w:rPr>
            </w:pPr>
            <w:r w:rsidRPr="007D47A4">
              <w:rPr>
                <w:bCs/>
              </w:rPr>
              <w:t>Описание предмета закупки</w:t>
            </w:r>
            <w:r>
              <w:rPr>
                <w:bCs/>
              </w:rPr>
              <w:t>, с указанием кода ОКПД2</w:t>
            </w:r>
            <w:r w:rsidRPr="007D47A4">
              <w:rPr>
                <w:bCs/>
                <w:color w:val="000000" w:themeColor="text1"/>
                <w:sz w:val="28"/>
                <w:szCs w:val="28"/>
              </w:rPr>
              <w:t xml:space="preserve">                    </w:t>
            </w:r>
          </w:p>
        </w:tc>
        <w:tc>
          <w:tcPr>
            <w:tcW w:w="6095" w:type="dxa"/>
          </w:tcPr>
          <w:p w14:paraId="5D676282" w14:textId="1197133F" w:rsidR="00B06BF2" w:rsidRPr="0094518D" w:rsidRDefault="000E42C4" w:rsidP="00B06BF2">
            <w:pPr>
              <w:pStyle w:val="a3"/>
              <w:ind w:left="466"/>
              <w:rPr>
                <w:sz w:val="24"/>
              </w:rPr>
            </w:pPr>
            <w:r w:rsidRPr="0094357C">
              <w:rPr>
                <w:sz w:val="24"/>
              </w:rPr>
              <w:t>71.20.19</w:t>
            </w:r>
            <w:r w:rsidR="001B45F3">
              <w:rPr>
                <w:sz w:val="24"/>
              </w:rPr>
              <w:t>.190</w:t>
            </w:r>
          </w:p>
        </w:tc>
      </w:tr>
      <w:tr w:rsidR="00B06BF2" w:rsidRPr="00AD4108" w14:paraId="016EAB2E" w14:textId="77777777" w:rsidTr="00C15EC1">
        <w:tc>
          <w:tcPr>
            <w:tcW w:w="710" w:type="dxa"/>
            <w:vAlign w:val="center"/>
          </w:tcPr>
          <w:p w14:paraId="23BB4A09" w14:textId="77777777" w:rsidR="00B06BF2" w:rsidRPr="007D47A4" w:rsidRDefault="00B06BF2" w:rsidP="00B06BF2">
            <w:pPr>
              <w:pStyle w:val="a3"/>
              <w:numPr>
                <w:ilvl w:val="0"/>
                <w:numId w:val="1"/>
              </w:numPr>
              <w:spacing w:line="360" w:lineRule="auto"/>
              <w:jc w:val="center"/>
              <w:rPr>
                <w:b/>
              </w:rPr>
            </w:pPr>
          </w:p>
        </w:tc>
        <w:tc>
          <w:tcPr>
            <w:tcW w:w="3399" w:type="dxa"/>
            <w:vAlign w:val="center"/>
          </w:tcPr>
          <w:p w14:paraId="63140599" w14:textId="77777777" w:rsidR="00B06BF2" w:rsidRPr="001F301A" w:rsidRDefault="00B06BF2" w:rsidP="00B06BF2">
            <w:pPr>
              <w:spacing w:line="360" w:lineRule="auto"/>
              <w:jc w:val="center"/>
            </w:pPr>
            <w:r w:rsidRPr="001F301A">
              <w:rPr>
                <w:color w:val="0D0D0D" w:themeColor="text1" w:themeTint="F2"/>
              </w:rPr>
              <w:t>Исходные данные</w:t>
            </w:r>
            <w:r>
              <w:rPr>
                <w:color w:val="0D0D0D" w:themeColor="text1" w:themeTint="F2"/>
              </w:rPr>
              <w:t xml:space="preserve"> для договора</w:t>
            </w:r>
          </w:p>
        </w:tc>
        <w:tc>
          <w:tcPr>
            <w:tcW w:w="6095" w:type="dxa"/>
          </w:tcPr>
          <w:p w14:paraId="15232C7E" w14:textId="2A763974" w:rsidR="00B06BF2" w:rsidRPr="009973CB" w:rsidRDefault="00B06BF2" w:rsidP="00B06BF2">
            <w:pPr>
              <w:rPr>
                <w:color w:val="808080" w:themeColor="background1" w:themeShade="80"/>
              </w:rPr>
            </w:pPr>
            <w:r w:rsidRPr="009973CB">
              <w:t xml:space="preserve">Исходные данные указаны в </w:t>
            </w:r>
            <w:r w:rsidRPr="00361F02">
              <w:rPr>
                <w:b/>
                <w:i/>
              </w:rPr>
              <w:t>Приложении №1</w:t>
            </w:r>
            <w:r w:rsidRPr="009973CB">
              <w:t xml:space="preserve"> к Техническому заданию</w:t>
            </w:r>
          </w:p>
        </w:tc>
      </w:tr>
      <w:tr w:rsidR="00B06BF2" w:rsidRPr="00AD4108" w14:paraId="31F16641" w14:textId="77777777" w:rsidTr="00C15EC1">
        <w:tc>
          <w:tcPr>
            <w:tcW w:w="710" w:type="dxa"/>
            <w:vAlign w:val="center"/>
          </w:tcPr>
          <w:p w14:paraId="5650E92A" w14:textId="77777777" w:rsidR="00B06BF2" w:rsidRPr="007D47A4" w:rsidRDefault="00B06BF2" w:rsidP="00B06BF2">
            <w:pPr>
              <w:pStyle w:val="a3"/>
              <w:numPr>
                <w:ilvl w:val="0"/>
                <w:numId w:val="1"/>
              </w:numPr>
              <w:spacing w:line="360" w:lineRule="auto"/>
              <w:jc w:val="center"/>
              <w:rPr>
                <w:b/>
              </w:rPr>
            </w:pPr>
          </w:p>
        </w:tc>
        <w:tc>
          <w:tcPr>
            <w:tcW w:w="3399" w:type="dxa"/>
            <w:vAlign w:val="center"/>
          </w:tcPr>
          <w:p w14:paraId="790DCF1D" w14:textId="77777777" w:rsidR="00B06BF2" w:rsidRPr="001F301A" w:rsidRDefault="00B06BF2" w:rsidP="00B06BF2">
            <w:pPr>
              <w:spacing w:line="360" w:lineRule="auto"/>
              <w:jc w:val="center"/>
              <w:rPr>
                <w:color w:val="0D0D0D" w:themeColor="text1" w:themeTint="F2"/>
              </w:rPr>
            </w:pPr>
            <w:r w:rsidRPr="001F301A">
              <w:rPr>
                <w:color w:val="0D0D0D" w:themeColor="text1" w:themeTint="F2"/>
              </w:rPr>
              <w:t xml:space="preserve">Гарантийный срок на результаты выполненных работ, </w:t>
            </w:r>
            <w:r w:rsidRPr="001F301A">
              <w:t xml:space="preserve">техническое обслуживание, работ/ услуг </w:t>
            </w:r>
          </w:p>
        </w:tc>
        <w:tc>
          <w:tcPr>
            <w:tcW w:w="6095" w:type="dxa"/>
            <w:tcBorders>
              <w:bottom w:val="single" w:sz="4" w:space="0" w:color="auto"/>
            </w:tcBorders>
          </w:tcPr>
          <w:p w14:paraId="73A9D84C" w14:textId="55527E5D" w:rsidR="00B06BF2" w:rsidRDefault="00B06BF2" w:rsidP="00B06BF2">
            <w:r w:rsidRPr="00432B1B">
              <w:t xml:space="preserve">Гарантия результатов проведенного технического освидетельствования на срок </w:t>
            </w:r>
          </w:p>
          <w:p w14:paraId="58C6A2E1" w14:textId="41F56E0A" w:rsidR="00B06BF2" w:rsidRPr="0094518D" w:rsidRDefault="00B06BF2" w:rsidP="00B06BF2">
            <w:pPr>
              <w:rPr>
                <w:u w:val="single"/>
              </w:rPr>
            </w:pPr>
            <w:r w:rsidRPr="0094518D">
              <w:rPr>
                <w:u w:val="single"/>
              </w:rPr>
              <w:t>Котлы:</w:t>
            </w:r>
          </w:p>
          <w:p w14:paraId="6A1D8D33" w14:textId="072672E0" w:rsidR="00B06BF2" w:rsidRPr="00432B1B" w:rsidRDefault="00B06BF2" w:rsidP="00B06BF2">
            <w:r w:rsidRPr="00432B1B">
              <w:t>-</w:t>
            </w:r>
            <w:r w:rsidRPr="00432B1B">
              <w:tab/>
              <w:t>Наружный осмотр – 4 года</w:t>
            </w:r>
          </w:p>
          <w:p w14:paraId="0ABED3D8" w14:textId="654CF040" w:rsidR="00B06BF2" w:rsidRPr="00432B1B" w:rsidRDefault="00B06BF2" w:rsidP="00B06BF2">
            <w:r w:rsidRPr="00432B1B">
              <w:t>-</w:t>
            </w:r>
            <w:r w:rsidRPr="00432B1B">
              <w:tab/>
              <w:t>Внутренний осмотр – 4 года</w:t>
            </w:r>
          </w:p>
          <w:p w14:paraId="3612AF80" w14:textId="7937039A" w:rsidR="00B06BF2" w:rsidRDefault="00B06BF2" w:rsidP="00B06BF2">
            <w:r w:rsidRPr="00432B1B">
              <w:t>-</w:t>
            </w:r>
            <w:r w:rsidRPr="00432B1B">
              <w:tab/>
              <w:t xml:space="preserve">Гидравлические испытания </w:t>
            </w:r>
            <w:r w:rsidRPr="00B06BF2">
              <w:t>– 8 лет</w:t>
            </w:r>
          </w:p>
          <w:p w14:paraId="4E923483" w14:textId="6CEA938D" w:rsidR="008B0BCE" w:rsidRPr="00B06BF2" w:rsidRDefault="008B0BCE" w:rsidP="00B06BF2">
            <w:r>
              <w:t xml:space="preserve">-           </w:t>
            </w:r>
            <w:r w:rsidRPr="008B0BCE">
              <w:t>Техническое освидетельствование металлоконструкций каркаса котла</w:t>
            </w:r>
            <w:r>
              <w:t xml:space="preserve"> – 8 лет</w:t>
            </w:r>
          </w:p>
          <w:p w14:paraId="05E38AA2" w14:textId="385622BB" w:rsidR="00B06BF2" w:rsidRPr="0094518D" w:rsidRDefault="00B06BF2" w:rsidP="00B06BF2">
            <w:pPr>
              <w:rPr>
                <w:u w:val="single"/>
              </w:rPr>
            </w:pPr>
            <w:r>
              <w:rPr>
                <w:u w:val="single"/>
              </w:rPr>
              <w:t>Трубопроводы</w:t>
            </w:r>
            <w:r w:rsidRPr="0094518D">
              <w:rPr>
                <w:u w:val="single"/>
              </w:rPr>
              <w:t>:</w:t>
            </w:r>
          </w:p>
          <w:p w14:paraId="21CF8A17" w14:textId="6918A732" w:rsidR="00B06BF2" w:rsidRPr="00361F02" w:rsidRDefault="00B06BF2" w:rsidP="00B06BF2">
            <w:r w:rsidRPr="00432B1B">
              <w:t>-</w:t>
            </w:r>
            <w:r w:rsidRPr="00432B1B">
              <w:tab/>
              <w:t xml:space="preserve">Наружный осмотр – </w:t>
            </w:r>
            <w:r>
              <w:t>3</w:t>
            </w:r>
            <w:r w:rsidRPr="00432B1B">
              <w:t xml:space="preserve"> года</w:t>
            </w:r>
          </w:p>
        </w:tc>
      </w:tr>
      <w:tr w:rsidR="00B06BF2" w:rsidRPr="00AD4108" w14:paraId="5A6C3667" w14:textId="77777777" w:rsidTr="00C15EC1">
        <w:trPr>
          <w:trHeight w:val="715"/>
        </w:trPr>
        <w:tc>
          <w:tcPr>
            <w:tcW w:w="710" w:type="dxa"/>
            <w:vAlign w:val="center"/>
          </w:tcPr>
          <w:p w14:paraId="14EC938C" w14:textId="77777777" w:rsidR="00B06BF2" w:rsidRPr="007D47A4" w:rsidRDefault="00B06BF2" w:rsidP="00B06BF2">
            <w:pPr>
              <w:pStyle w:val="a3"/>
              <w:numPr>
                <w:ilvl w:val="0"/>
                <w:numId w:val="1"/>
              </w:numPr>
              <w:spacing w:line="360" w:lineRule="auto"/>
              <w:jc w:val="center"/>
              <w:rPr>
                <w:b/>
                <w:color w:val="0D0D0D" w:themeColor="text1" w:themeTint="F2"/>
              </w:rPr>
            </w:pPr>
          </w:p>
        </w:tc>
        <w:tc>
          <w:tcPr>
            <w:tcW w:w="3399" w:type="dxa"/>
            <w:tcBorders>
              <w:right w:val="single" w:sz="4" w:space="0" w:color="auto"/>
            </w:tcBorders>
            <w:vAlign w:val="center"/>
          </w:tcPr>
          <w:p w14:paraId="52E523B8" w14:textId="77777777" w:rsidR="00B06BF2" w:rsidRPr="001F301A" w:rsidRDefault="00B06BF2" w:rsidP="00B06BF2">
            <w:pPr>
              <w:spacing w:line="360" w:lineRule="auto"/>
              <w:jc w:val="center"/>
              <w:rPr>
                <w:color w:val="0D0D0D" w:themeColor="text1" w:themeTint="F2"/>
              </w:rPr>
            </w:pPr>
            <w:r w:rsidRPr="001F301A">
              <w:t xml:space="preserve">Требования </w:t>
            </w:r>
            <w:r>
              <w:t xml:space="preserve">к наличию лицензии, </w:t>
            </w:r>
            <w:r w:rsidRPr="001F301A">
              <w:t>безопасности выполнения работ</w:t>
            </w:r>
          </w:p>
        </w:tc>
        <w:tc>
          <w:tcPr>
            <w:tcW w:w="6095" w:type="dxa"/>
            <w:tcBorders>
              <w:top w:val="single" w:sz="4" w:space="0" w:color="auto"/>
              <w:left w:val="single" w:sz="4" w:space="0" w:color="auto"/>
              <w:bottom w:val="single" w:sz="4" w:space="0" w:color="auto"/>
              <w:right w:val="single" w:sz="4" w:space="0" w:color="auto"/>
            </w:tcBorders>
          </w:tcPr>
          <w:p w14:paraId="3198BCD1" w14:textId="31C32A7C" w:rsidR="000E42C4" w:rsidRPr="007F5E6F" w:rsidRDefault="008B2BAF" w:rsidP="000E42C4">
            <w:pPr>
              <w:ind w:firstLine="716"/>
              <w:jc w:val="both"/>
            </w:pPr>
            <w:r w:rsidRPr="007F5E6F">
              <w:t>1</w:t>
            </w:r>
            <w:r w:rsidR="00FF57E3" w:rsidRPr="007F5E6F">
              <w:t xml:space="preserve">. Организация, оказывающая услуги, должна иметь соответствующую лицензию </w:t>
            </w:r>
            <w:r w:rsidR="00FF57E3" w:rsidRPr="007F5E6F">
              <w:rPr>
                <w:i/>
              </w:rPr>
              <w:t>на вид деятельности по проведению экспертизы промышленной безопасности, техническое освидетельствование, техническое диагностирование технических устройств (объекты котлонадзора), применяемых на опасных производственных объектах</w:t>
            </w:r>
            <w:r w:rsidR="00FF57E3" w:rsidRPr="007F5E6F">
              <w:t>, выданную Федеральной службой по экологическому, технологическому и атомному надзору.</w:t>
            </w:r>
          </w:p>
          <w:p w14:paraId="5C80E9F4" w14:textId="3E81A77C" w:rsidR="00BB567C" w:rsidRPr="008A5211" w:rsidRDefault="00CA1D84" w:rsidP="00BB567C">
            <w:pPr>
              <w:ind w:firstLine="716"/>
              <w:jc w:val="both"/>
              <w:rPr>
                <w:bCs/>
                <w:iCs/>
              </w:rPr>
            </w:pPr>
            <w:r w:rsidRPr="007F5E6F">
              <w:t>В соответствии с п. 396 ФНП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15.12.2020 №536, организация, выполняющая работы по техническому освидетельствованию оборудования под давлением, для обеспечения информированности организаций, эксплуатирующих оборудование, и возможности осуществления контроля (надзора), должна представить в Ростехнадзор информацию о видах (типах) оборудования под давлением, в отношении которого она обладает организационной и технической возможностью проводить техническое освидетельствование, с указанием сведений, подтверждающих её соответствие вышеуказанным требованиям к специализированной организации, уполномоченной для проведения технического освидетельствования оборудования под давлением, в том числе в части наличия работников соответствующей квалификации, комплекта измерительных, диагностических приборов, устройств, а также методик, необходимых для качественного проведения работ по техническому освидетельствованию конкретных видов оборудования.</w:t>
            </w:r>
            <w:r w:rsidRPr="007F5E6F">
              <w:rPr>
                <w:b/>
                <w:i/>
              </w:rPr>
              <w:t>(</w:t>
            </w:r>
            <w:r w:rsidRPr="008A5211">
              <w:rPr>
                <w:bCs/>
                <w:iCs/>
              </w:rPr>
              <w:t>предоставить копию письма из Федеральной службы по экологическому, технологическому и атомному надзору о размещении информации)</w:t>
            </w:r>
            <w:r w:rsidR="002D4ABE" w:rsidRPr="008A5211">
              <w:rPr>
                <w:bCs/>
                <w:iCs/>
              </w:rPr>
              <w:t>.</w:t>
            </w:r>
          </w:p>
          <w:p w14:paraId="46F8C5F8" w14:textId="5D95E6A4" w:rsidR="00CA1D84" w:rsidRPr="007F5E6F" w:rsidRDefault="008B2BAF" w:rsidP="008B2BAF">
            <w:pPr>
              <w:ind w:firstLine="716"/>
              <w:jc w:val="both"/>
            </w:pPr>
            <w:r w:rsidRPr="007F5E6F">
              <w:t xml:space="preserve">2. </w:t>
            </w:r>
            <w:r w:rsidR="002224BE" w:rsidRPr="007F5E6F">
              <w:t xml:space="preserve">К числу специализированных организаций, уполномоченных для проведения технического освидетельствования оборудования под давлением относятся организации, имеющие в своем составе подразделения (лаборатории) неразрушающего контроля, соответствующие федеральным нормам и правилами в области промышленной безопасности "Основные требования к проведению неразрушающего </w:t>
            </w:r>
            <w:r w:rsidR="002224BE" w:rsidRPr="007F5E6F">
              <w:lastRenderedPageBreak/>
              <w:t>контроля технических устройств, зданий и сооружений на опасных производственных объектах", утвержденным приказом Ростехнадзора от 1 декабря 2020 г. N 478 (зарегистрирован Министерством юстиции Российской Федерации 24 декабря 2020 г., регистрационный N 61795) и располагающие на правах собственности и иных законных основаниях необходимыми для проведения технического освидетельствования конкретных видов оборудования методиками и комплектом измерительных, диагностических приборов</w:t>
            </w:r>
            <w:r w:rsidR="00407608" w:rsidRPr="007F5E6F">
              <w:t xml:space="preserve"> (ультразвуковые толщиномеры, дефектоскопы; наборы ВИК; приборы для капиллярного контроля; приборы и оборудование для разрушающего контроля – твердомеры, приборы для исследования структуры металлов</w:t>
            </w:r>
            <w:r w:rsidR="007F5E6F" w:rsidRPr="007F5E6F">
              <w:t>*)</w:t>
            </w:r>
            <w:r w:rsidR="002224BE" w:rsidRPr="007F5E6F">
              <w:t xml:space="preserve"> и устройств, укомплектованные работниками соответствующей квалификации в области неразрушающего контроля</w:t>
            </w:r>
            <w:r w:rsidR="00407608" w:rsidRPr="007F5E6F">
              <w:t xml:space="preserve"> (эксперты II и III  категории в штате организации, выполняющей услуги</w:t>
            </w:r>
            <w:r w:rsidR="007F5E6F" w:rsidRPr="007F5E6F">
              <w:t>*</w:t>
            </w:r>
            <w:r w:rsidR="00407608" w:rsidRPr="007F5E6F">
              <w:t>)</w:t>
            </w:r>
            <w:r w:rsidR="002224BE" w:rsidRPr="007F5E6F">
              <w:t>, аттестованными по визуальному и измерительному контролю, а также иным методам неразрушающего контроля.</w:t>
            </w:r>
            <w:r w:rsidR="00407608" w:rsidRPr="007F5E6F">
              <w:t xml:space="preserve"> А также наличие предохранительных приспособлений и средств защиты при работах на высоте (приставные лестницы, леса, предохранительные пояса, страховочные канаты и т.д.) с наличием на период проведения работ действующих свидетельств о поверке.</w:t>
            </w:r>
            <w:r w:rsidR="002224BE" w:rsidRPr="007F5E6F">
              <w:t xml:space="preserve"> Согласно п.396 Приказа Ростехнадзора от 15.12.2020 N 536.</w:t>
            </w:r>
          </w:p>
          <w:p w14:paraId="17D12BFD" w14:textId="63EA967C" w:rsidR="008B2BAF" w:rsidRPr="007F5E6F" w:rsidRDefault="008B2BAF" w:rsidP="008B2BAF">
            <w:pPr>
              <w:ind w:firstLine="716"/>
              <w:jc w:val="both"/>
            </w:pPr>
            <w:r w:rsidRPr="007F5E6F">
              <w:t xml:space="preserve">3. Исполнитель должен подтвердить опыт проведения аналогичных работ справкой об исполненных договорах за последние </w:t>
            </w:r>
            <w:r w:rsidR="002D4ABE" w:rsidRPr="007F5E6F">
              <w:t>3</w:t>
            </w:r>
            <w:r w:rsidRPr="007F5E6F">
              <w:t xml:space="preserve"> года по Москве и Московской области</w:t>
            </w:r>
            <w:r w:rsidR="002D4ABE" w:rsidRPr="007F5E6F">
              <w:t xml:space="preserve"> (при наличии).</w:t>
            </w:r>
          </w:p>
          <w:p w14:paraId="49459CCC" w14:textId="77777777" w:rsidR="003109B1" w:rsidRPr="007F5E6F" w:rsidRDefault="008B2BAF" w:rsidP="008B2BAF">
            <w:pPr>
              <w:ind w:firstLine="716"/>
              <w:jc w:val="both"/>
            </w:pPr>
            <w:r w:rsidRPr="007F5E6F">
              <w:t>4. Оказание услуг должно осуществляться Исполнителем</w:t>
            </w:r>
            <w:r w:rsidR="002D4ABE" w:rsidRPr="007F5E6F">
              <w:t xml:space="preserve"> </w:t>
            </w:r>
            <w:r w:rsidRPr="007F5E6F">
              <w:rPr>
                <w:b/>
                <w:bCs/>
              </w:rPr>
              <w:t>своими силами</w:t>
            </w:r>
            <w:r w:rsidRPr="007F5E6F">
              <w:t xml:space="preserve"> и средствами, обеспечив их надлежащее качество, и в сроки, установленные настоящим техническим заданием</w:t>
            </w:r>
          </w:p>
          <w:p w14:paraId="3B983D16" w14:textId="04651205" w:rsidR="007F5E6F" w:rsidRPr="007F5E6F" w:rsidRDefault="007F5E6F" w:rsidP="008B2BAF">
            <w:pPr>
              <w:ind w:firstLine="716"/>
              <w:jc w:val="both"/>
            </w:pPr>
            <w:r w:rsidRPr="007F5E6F">
              <w:t>* - примечания Заказчика</w:t>
            </w:r>
          </w:p>
        </w:tc>
      </w:tr>
      <w:tr w:rsidR="008B2BAF" w:rsidRPr="00AD4108" w14:paraId="7BD418D0" w14:textId="77777777" w:rsidTr="00C15EC1">
        <w:trPr>
          <w:trHeight w:val="1530"/>
        </w:trPr>
        <w:tc>
          <w:tcPr>
            <w:tcW w:w="710" w:type="dxa"/>
            <w:vAlign w:val="center"/>
          </w:tcPr>
          <w:p w14:paraId="7836F1AE" w14:textId="77777777" w:rsidR="008B2BAF" w:rsidRPr="007D47A4" w:rsidRDefault="008B2BAF" w:rsidP="008B2BAF">
            <w:pPr>
              <w:pStyle w:val="a3"/>
              <w:numPr>
                <w:ilvl w:val="0"/>
                <w:numId w:val="1"/>
              </w:numPr>
              <w:spacing w:line="360" w:lineRule="auto"/>
              <w:jc w:val="center"/>
              <w:rPr>
                <w:b/>
                <w:color w:val="0D0D0D" w:themeColor="text1" w:themeTint="F2"/>
              </w:rPr>
            </w:pPr>
          </w:p>
        </w:tc>
        <w:tc>
          <w:tcPr>
            <w:tcW w:w="3399" w:type="dxa"/>
            <w:tcBorders>
              <w:right w:val="single" w:sz="4" w:space="0" w:color="auto"/>
            </w:tcBorders>
            <w:vAlign w:val="center"/>
          </w:tcPr>
          <w:p w14:paraId="6EE28895" w14:textId="6E1AEA04" w:rsidR="008B2BAF" w:rsidRPr="001F301A" w:rsidRDefault="008B2BAF" w:rsidP="008B2BAF">
            <w:pPr>
              <w:spacing w:line="360" w:lineRule="auto"/>
              <w:jc w:val="center"/>
            </w:pPr>
            <w:r w:rsidRPr="00ED5126">
              <w:t>Размер обеспечения исполнения договора, порядок и срок его предоставления и иные требования к такому обеспечению</w:t>
            </w:r>
          </w:p>
        </w:tc>
        <w:tc>
          <w:tcPr>
            <w:tcW w:w="6095" w:type="dxa"/>
            <w:tcBorders>
              <w:top w:val="single" w:sz="4" w:space="0" w:color="auto"/>
              <w:left w:val="single" w:sz="4" w:space="0" w:color="auto"/>
              <w:bottom w:val="single" w:sz="4" w:space="0" w:color="auto"/>
              <w:right w:val="single" w:sz="4" w:space="0" w:color="auto"/>
            </w:tcBorders>
          </w:tcPr>
          <w:p w14:paraId="3C95914A" w14:textId="3E158F35"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Обеспечение исполнения договора установлено в размере 30 % от начальной (максимальной) цены договора.</w:t>
            </w:r>
          </w:p>
          <w:p w14:paraId="58EE4F80" w14:textId="77777777" w:rsidR="00ED5126" w:rsidRPr="007F5E6F" w:rsidRDefault="00ED5126" w:rsidP="008B2BAF">
            <w:pPr>
              <w:tabs>
                <w:tab w:val="left" w:pos="600"/>
                <w:tab w:val="left" w:pos="840"/>
                <w:tab w:val="left" w:pos="960"/>
                <w:tab w:val="left" w:pos="1080"/>
                <w:tab w:val="left" w:pos="1260"/>
                <w:tab w:val="left" w:pos="1740"/>
              </w:tabs>
              <w:snapToGrid w:val="0"/>
              <w:jc w:val="both"/>
            </w:pPr>
          </w:p>
          <w:p w14:paraId="50F3A9B6" w14:textId="77777777" w:rsidR="008B2BAF" w:rsidRPr="007F5E6F" w:rsidRDefault="008B2BAF" w:rsidP="008B2BAF">
            <w:pPr>
              <w:pStyle w:val="ConsPlusNormal"/>
              <w:ind w:firstLine="0"/>
              <w:jc w:val="both"/>
              <w:rPr>
                <w:rFonts w:ascii="Times New Roman" w:hAnsi="Times New Roman" w:cs="Times New Roman"/>
                <w:sz w:val="24"/>
                <w:szCs w:val="24"/>
              </w:rPr>
            </w:pPr>
            <w:r w:rsidRPr="007F5E6F">
              <w:rPr>
                <w:rFonts w:ascii="Times New Roman" w:hAnsi="Times New Roman" w:cs="Times New Roman"/>
                <w:sz w:val="24"/>
                <w:szCs w:val="24"/>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EC27F30" w14:textId="77777777" w:rsidR="008B2BAF" w:rsidRPr="007F5E6F" w:rsidRDefault="008B2BAF" w:rsidP="008B2BAF">
            <w:pPr>
              <w:jc w:val="both"/>
            </w:pPr>
            <w:r w:rsidRPr="007F5E6F">
              <w:t>Реквизиты счета для внесения денежных средств в качестве обеспечения исполнения договора:</w:t>
            </w:r>
          </w:p>
          <w:p w14:paraId="769626A1" w14:textId="77777777" w:rsidR="008B2BAF" w:rsidRPr="007F5E6F" w:rsidRDefault="008B2BAF" w:rsidP="008B2BAF">
            <w:pPr>
              <w:jc w:val="both"/>
            </w:pPr>
            <w:r w:rsidRPr="007F5E6F">
              <w:t>Получатель: ООО «Гранель Инжиниринг»</w:t>
            </w:r>
          </w:p>
          <w:p w14:paraId="7954F8A7" w14:textId="77777777" w:rsidR="008B2BAF" w:rsidRPr="007F5E6F" w:rsidRDefault="008B2BAF" w:rsidP="008B2BAF">
            <w:pPr>
              <w:jc w:val="both"/>
            </w:pPr>
            <w:r w:rsidRPr="007F5E6F">
              <w:t>Московский банк ПАО «Сбербанк России» г. Москва</w:t>
            </w:r>
          </w:p>
          <w:p w14:paraId="4BD41CC6" w14:textId="77777777" w:rsidR="008B2BAF" w:rsidRPr="007F5E6F" w:rsidRDefault="008B2BAF" w:rsidP="008B2BAF">
            <w:pPr>
              <w:jc w:val="both"/>
            </w:pPr>
            <w:r w:rsidRPr="007F5E6F">
              <w:t>р/с № 40702810738000068971</w:t>
            </w:r>
          </w:p>
          <w:p w14:paraId="2360A662" w14:textId="77777777" w:rsidR="008B2BAF" w:rsidRPr="007F5E6F" w:rsidRDefault="008B2BAF" w:rsidP="008B2BAF">
            <w:pPr>
              <w:jc w:val="both"/>
            </w:pPr>
            <w:r w:rsidRPr="007F5E6F">
              <w:t>к/с: № 30101810400000000225</w:t>
            </w:r>
          </w:p>
          <w:p w14:paraId="4DDBB7E5" w14:textId="77777777" w:rsidR="008B2BAF" w:rsidRPr="007F5E6F" w:rsidRDefault="008B2BAF" w:rsidP="008B2BAF">
            <w:pPr>
              <w:jc w:val="both"/>
            </w:pPr>
            <w:r w:rsidRPr="007F5E6F">
              <w:t>БИК: 044525225</w:t>
            </w:r>
          </w:p>
          <w:p w14:paraId="012AB22C" w14:textId="77777777" w:rsidR="008B2BAF" w:rsidRPr="007F5E6F" w:rsidRDefault="008B2BAF" w:rsidP="008B2BAF">
            <w:pPr>
              <w:jc w:val="both"/>
            </w:pPr>
            <w:r w:rsidRPr="007F5E6F">
              <w:t>Назначение платежа: Обеспечение исполнения договора по результатам закупки № ЕИС</w:t>
            </w:r>
          </w:p>
          <w:p w14:paraId="5E01FDA0" w14:textId="77777777" w:rsidR="008B2BAF" w:rsidRPr="007F5E6F" w:rsidRDefault="008B2BAF" w:rsidP="008B2BAF">
            <w:pPr>
              <w:jc w:val="both"/>
            </w:pPr>
            <w:r w:rsidRPr="007F5E6F">
              <w:lastRenderedPageBreak/>
              <w:t>Факт внесения денежных средств в качестве обеспечения исполнения договора подтверждается платежным поручением с отметкой банка об оплате.</w:t>
            </w:r>
          </w:p>
          <w:p w14:paraId="0D6BD372" w14:textId="77777777" w:rsidR="008B2BAF" w:rsidRPr="007F5E6F" w:rsidRDefault="008B2BAF" w:rsidP="008B2BAF">
            <w:pPr>
              <w:jc w:val="both"/>
            </w:pPr>
          </w:p>
          <w:p w14:paraId="7C9B8611" w14:textId="039D8A2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 xml:space="preserve">Независимая гарантия, предоставляемая в качестве обеспечения исполнения </w:t>
            </w:r>
            <w:r w:rsidR="00ED5126" w:rsidRPr="007F5E6F">
              <w:rPr>
                <w:shd w:val="clear" w:color="auto" w:fill="FFFFFF"/>
              </w:rPr>
              <w:t>договора,</w:t>
            </w:r>
            <w:r w:rsidRPr="007F5E6F">
              <w:rPr>
                <w:shd w:val="clear" w:color="auto" w:fill="FFFFFF"/>
              </w:rPr>
              <w:t xml:space="preserve"> </w:t>
            </w:r>
            <w:r w:rsidRPr="007F5E6F">
              <w:t xml:space="preserve">должна соответствовать требованиям, установленным Гражданским кодексом Российской Федерации (гл.6, ст.368 - 379), </w:t>
            </w:r>
            <w:r w:rsidRPr="007F5E6F">
              <w:rPr>
                <w:shd w:val="clear" w:color="auto" w:fill="FFFFFF"/>
              </w:rPr>
              <w:t>должна быть безотзывной и должна содержать:</w:t>
            </w:r>
          </w:p>
          <w:p w14:paraId="75732937"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1) сумму независимой гарантии, подлежащую уплате гарантом Заказчику в случае ненадлежащего исполнения обязательств принципалом;</w:t>
            </w:r>
          </w:p>
          <w:p w14:paraId="5E012AAD"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2) перечень обязательств принципала, надлежащее исполнение которых обеспечивается независимой гарантией;</w:t>
            </w:r>
          </w:p>
          <w:p w14:paraId="6DCF06E3"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 xml:space="preserve">3) </w:t>
            </w:r>
            <w:r w:rsidRPr="007F5E6F">
              <w:t>условие об обязанности гаранта в случае просрочки исполнения обязательств по независимой гарантии, требование по которой соответствует условиям независимой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r w:rsidRPr="007F5E6F">
              <w:rPr>
                <w:shd w:val="clear" w:color="auto" w:fill="FFFFFF"/>
              </w:rPr>
              <w:t>;</w:t>
            </w:r>
          </w:p>
          <w:p w14:paraId="3A481CB7"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7B8261D5"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5) условие о сроке действия 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w:t>
            </w:r>
          </w:p>
          <w:p w14:paraId="53F021E9"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3E51D976"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rPr>
                <w:shd w:val="clear" w:color="auto" w:fill="FFFFFF"/>
              </w:rPr>
              <w:t xml:space="preserve">7) </w:t>
            </w:r>
            <w:r w:rsidRPr="007F5E6F">
              <w:t>условие о праве бенефициара в случае неисполнения или ненадлежащего исполнения принципалом обязательств, обеспеченных банковской гарантией,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w:t>
            </w:r>
            <w:r w:rsidRPr="007F5E6F">
              <w:rPr>
                <w:shd w:val="clear" w:color="auto" w:fill="FFFFFF"/>
              </w:rPr>
              <w:t>;</w:t>
            </w:r>
          </w:p>
          <w:p w14:paraId="65105A55" w14:textId="77777777" w:rsidR="008B2BAF" w:rsidRPr="007F5E6F" w:rsidRDefault="008B2BAF" w:rsidP="008B2BAF">
            <w:pPr>
              <w:pStyle w:val="WW-"/>
              <w:shd w:val="clear" w:color="auto" w:fill="FFFFFF"/>
              <w:tabs>
                <w:tab w:val="left" w:pos="0"/>
                <w:tab w:val="left" w:pos="1089"/>
              </w:tabs>
              <w:jc w:val="both"/>
              <w:rPr>
                <w:shd w:val="clear" w:color="auto" w:fill="FFFFFF"/>
              </w:rPr>
            </w:pPr>
            <w:r w:rsidRPr="007F5E6F">
              <w:t>8) условие об обязанности гаранта рассмотреть требование об уплате денежной суммы по банковской гарантии не позднее 5 рабочих дней со дня, следующего за днем получения указанного требования и документов, предусмотренных подпунктом 7 настоящего пункта;</w:t>
            </w:r>
          </w:p>
          <w:p w14:paraId="3F66603F" w14:textId="77777777" w:rsidR="008B2BAF" w:rsidRPr="007F5E6F" w:rsidRDefault="008B2BAF" w:rsidP="008B2BAF">
            <w:pPr>
              <w:jc w:val="both"/>
              <w:rPr>
                <w:shd w:val="clear" w:color="auto" w:fill="FFFFFF"/>
              </w:rPr>
            </w:pPr>
            <w:r w:rsidRPr="007F5E6F">
              <w:rPr>
                <w:shd w:val="clear" w:color="auto" w:fill="FFFFFF"/>
              </w:rPr>
              <w:lastRenderedPageBreak/>
              <w:t>9) 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8723E8" w14:textId="77777777" w:rsidR="008B2BAF" w:rsidRPr="007F5E6F" w:rsidRDefault="008B2BAF" w:rsidP="008B2BAF">
            <w:pPr>
              <w:jc w:val="both"/>
            </w:pPr>
          </w:p>
          <w:p w14:paraId="3C795F03" w14:textId="77777777"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Должна быть только одна независимая гарантия на всю сумму. Предоставление нескольких гарантий в общей сумме, покрывающей необходимый размер обеспечения, не допускается.</w:t>
            </w:r>
          </w:p>
          <w:p w14:paraId="173EC6DE" w14:textId="77777777"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Частичное использование в качестве обеспечения независимой гарантии денежных средств в виде депозита не допускается.</w:t>
            </w:r>
          </w:p>
          <w:p w14:paraId="5E5FDEC8" w14:textId="77777777" w:rsidR="008B2BAF" w:rsidRPr="007F5E6F" w:rsidRDefault="008B2BAF" w:rsidP="008B2BAF">
            <w:pPr>
              <w:tabs>
                <w:tab w:val="left" w:pos="600"/>
                <w:tab w:val="left" w:pos="840"/>
                <w:tab w:val="left" w:pos="960"/>
                <w:tab w:val="left" w:pos="1080"/>
                <w:tab w:val="left" w:pos="1260"/>
                <w:tab w:val="left" w:pos="1740"/>
              </w:tabs>
              <w:snapToGrid w:val="0"/>
              <w:jc w:val="both"/>
            </w:pPr>
          </w:p>
          <w:p w14:paraId="1EF277F9" w14:textId="77777777"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Заказчик рассматривает поступившую в качестве обеспечения исполнения договора независимую гарантию.</w:t>
            </w:r>
          </w:p>
          <w:p w14:paraId="56F152B6" w14:textId="77777777"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Заказчик вправе направить запрос банку, выдавшему независимую гарантию о подтверждении выдачи такой независимой гарантии на условиях, установленных в настоящем разделе.</w:t>
            </w:r>
          </w:p>
          <w:p w14:paraId="02FF065C" w14:textId="77777777" w:rsidR="008B2BAF" w:rsidRPr="007F5E6F" w:rsidRDefault="008B2BAF" w:rsidP="008B2BAF">
            <w:pPr>
              <w:tabs>
                <w:tab w:val="left" w:pos="600"/>
                <w:tab w:val="left" w:pos="840"/>
                <w:tab w:val="left" w:pos="960"/>
                <w:tab w:val="left" w:pos="1080"/>
                <w:tab w:val="left" w:pos="1260"/>
                <w:tab w:val="left" w:pos="1740"/>
              </w:tabs>
              <w:snapToGrid w:val="0"/>
              <w:jc w:val="both"/>
            </w:pPr>
            <w:r w:rsidRPr="007F5E6F">
              <w:t>Основанием для отказа в принятии независимой гарантии заказчиком является несоответствие банковской гарантии условиям, указанным в настоящем пункте и иным условиям, предусмотренным законодательством РФ для таких гарантий.</w:t>
            </w:r>
          </w:p>
          <w:p w14:paraId="0CA39CAA" w14:textId="77777777" w:rsidR="008B2BAF" w:rsidRPr="007F5E6F" w:rsidRDefault="008B2BAF" w:rsidP="008B2BAF">
            <w:pPr>
              <w:jc w:val="both"/>
            </w:pPr>
          </w:p>
          <w:p w14:paraId="7BBDE3CC" w14:textId="77777777" w:rsidR="008B2BAF" w:rsidRPr="007F5E6F" w:rsidRDefault="008B2BAF" w:rsidP="008B2BAF">
            <w:pPr>
              <w:jc w:val="both"/>
              <w:rPr>
                <w:b/>
                <w:bCs/>
              </w:rPr>
            </w:pPr>
            <w:r w:rsidRPr="007F5E6F">
              <w:rPr>
                <w:b/>
                <w:bCs/>
              </w:rPr>
              <w:t xml:space="preserve">Обеспечение должно быть предоставлено участником закупки до заключения договора. </w:t>
            </w:r>
          </w:p>
          <w:p w14:paraId="3ED9093A" w14:textId="77777777" w:rsidR="008B2BAF" w:rsidRPr="007F5E6F" w:rsidRDefault="008B2BAF" w:rsidP="008B2BAF">
            <w:pPr>
              <w:jc w:val="both"/>
            </w:pPr>
          </w:p>
          <w:p w14:paraId="707C28E3" w14:textId="77777777" w:rsidR="008B2BAF" w:rsidRPr="007F5E6F" w:rsidRDefault="008B2BAF" w:rsidP="008B2BAF">
            <w:pPr>
              <w:suppressAutoHyphens/>
              <w:ind w:firstLine="709"/>
              <w:jc w:val="both"/>
            </w:pPr>
            <w:r w:rsidRPr="007F5E6F">
              <w:t>В случае если в документации о конкурентной закупке, извещении о проведении запроса котировок в электронной форме или договоре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извещением о проведении запроса котировок в электронной форме или договоре участник закупки не предоставил обеспечение исполнения договора, такой участник признается уклонившимся от заключения договора.</w:t>
            </w:r>
          </w:p>
          <w:p w14:paraId="663984A6" w14:textId="6FE369ED" w:rsidR="008B2BAF" w:rsidRPr="007F5E6F" w:rsidRDefault="008B2BAF" w:rsidP="008B2BAF">
            <w:pPr>
              <w:tabs>
                <w:tab w:val="left" w:pos="600"/>
                <w:tab w:val="left" w:pos="840"/>
                <w:tab w:val="left" w:pos="960"/>
                <w:tab w:val="left" w:pos="1080"/>
                <w:tab w:val="left" w:pos="1260"/>
                <w:tab w:val="left" w:pos="1740"/>
              </w:tabs>
              <w:snapToGrid w:val="0"/>
              <w:jc w:val="both"/>
            </w:pPr>
            <w:r w:rsidRPr="007F5E6F">
              <w:rPr>
                <w:color w:val="000000" w:themeColor="text1"/>
              </w:rPr>
              <w:t>Срок обеспечения исполнения договора</w:t>
            </w:r>
            <w:r w:rsidR="00ED5126" w:rsidRPr="007F5E6F">
              <w:rPr>
                <w:color w:val="000000" w:themeColor="text1"/>
              </w:rPr>
              <w:t xml:space="preserve"> должен составлять срок исполнения обязательств по договору поставщиком (исполнителем, подрядчиком) плюс 60 дней.</w:t>
            </w:r>
          </w:p>
          <w:p w14:paraId="039EBD62" w14:textId="2743D801" w:rsidR="008B2BAF" w:rsidRPr="007F5E6F" w:rsidRDefault="008B2BAF" w:rsidP="008B2BAF">
            <w:pPr>
              <w:suppressAutoHyphens/>
              <w:ind w:firstLine="709"/>
              <w:jc w:val="both"/>
              <w:rPr>
                <w:rFonts w:eastAsia="Calibri"/>
                <w:bCs/>
                <w:szCs w:val="22"/>
                <w:lang w:eastAsia="ar-SA"/>
              </w:rPr>
            </w:pPr>
          </w:p>
        </w:tc>
      </w:tr>
      <w:tr w:rsidR="008B2BAF" w:rsidRPr="00AD4108" w14:paraId="52C61B4D" w14:textId="77777777" w:rsidTr="00C15EC1">
        <w:trPr>
          <w:trHeight w:val="1530"/>
        </w:trPr>
        <w:tc>
          <w:tcPr>
            <w:tcW w:w="710" w:type="dxa"/>
            <w:vAlign w:val="center"/>
          </w:tcPr>
          <w:p w14:paraId="046FFD37" w14:textId="77777777" w:rsidR="008B2BAF" w:rsidRPr="007D47A4" w:rsidRDefault="008B2BAF" w:rsidP="008B2BAF">
            <w:pPr>
              <w:pStyle w:val="a3"/>
              <w:numPr>
                <w:ilvl w:val="0"/>
                <w:numId w:val="1"/>
              </w:numPr>
              <w:spacing w:line="360" w:lineRule="auto"/>
              <w:jc w:val="center"/>
              <w:rPr>
                <w:b/>
                <w:color w:val="0D0D0D" w:themeColor="text1" w:themeTint="F2"/>
              </w:rPr>
            </w:pPr>
          </w:p>
        </w:tc>
        <w:tc>
          <w:tcPr>
            <w:tcW w:w="3399" w:type="dxa"/>
            <w:tcBorders>
              <w:right w:val="single" w:sz="4" w:space="0" w:color="auto"/>
            </w:tcBorders>
            <w:vAlign w:val="center"/>
          </w:tcPr>
          <w:p w14:paraId="5751DAC1" w14:textId="77777777" w:rsidR="008B2BAF" w:rsidRPr="001F301A" w:rsidRDefault="008B2BAF" w:rsidP="008B2BAF">
            <w:pPr>
              <w:spacing w:line="360" w:lineRule="auto"/>
              <w:jc w:val="center"/>
            </w:pPr>
            <w:r w:rsidRPr="001F301A">
              <w:t>Требования по передаче заказчику технических и иных документов по завершению и сдаче работ.</w:t>
            </w:r>
          </w:p>
        </w:tc>
        <w:tc>
          <w:tcPr>
            <w:tcW w:w="6095" w:type="dxa"/>
            <w:tcBorders>
              <w:top w:val="single" w:sz="4" w:space="0" w:color="auto"/>
              <w:left w:val="single" w:sz="4" w:space="0" w:color="auto"/>
              <w:bottom w:val="single" w:sz="4" w:space="0" w:color="auto"/>
              <w:right w:val="single" w:sz="4" w:space="0" w:color="auto"/>
            </w:tcBorders>
          </w:tcPr>
          <w:p w14:paraId="5AC1EAED" w14:textId="7FEB6CB7" w:rsidR="008B2BAF" w:rsidRPr="0094518D" w:rsidRDefault="008B2BAF" w:rsidP="008B2BAF">
            <w:pPr>
              <w:suppressAutoHyphens/>
              <w:ind w:firstLine="709"/>
              <w:jc w:val="both"/>
              <w:rPr>
                <w:rFonts w:eastAsia="Calibri"/>
                <w:bCs/>
                <w:szCs w:val="22"/>
                <w:lang w:eastAsia="ar-SA"/>
              </w:rPr>
            </w:pPr>
            <w:r w:rsidRPr="0094518D">
              <w:rPr>
                <w:rFonts w:eastAsia="Calibri"/>
                <w:bCs/>
                <w:szCs w:val="22"/>
                <w:lang w:eastAsia="ar-SA"/>
              </w:rPr>
              <w:t>Результатом проведения работ являются:</w:t>
            </w:r>
          </w:p>
          <w:p w14:paraId="00C4E77F" w14:textId="2360855C" w:rsidR="008B2BAF" w:rsidRDefault="008B2BAF" w:rsidP="008B2BAF">
            <w:pPr>
              <w:suppressAutoHyphens/>
              <w:jc w:val="both"/>
              <w:rPr>
                <w:rFonts w:eastAsia="Calibri"/>
                <w:bCs/>
                <w:szCs w:val="22"/>
                <w:lang w:eastAsia="ar-SA"/>
              </w:rPr>
            </w:pPr>
            <w:r w:rsidRPr="0094518D">
              <w:rPr>
                <w:rFonts w:eastAsia="Calibri"/>
                <w:bCs/>
                <w:szCs w:val="22"/>
                <w:lang w:eastAsia="ar-SA"/>
              </w:rPr>
              <w:t>- Запись в паспортах котлов по результатам проведенного технического освидетельствования</w:t>
            </w:r>
            <w:r>
              <w:rPr>
                <w:rFonts w:eastAsia="Calibri"/>
                <w:bCs/>
                <w:szCs w:val="22"/>
                <w:lang w:eastAsia="ar-SA"/>
              </w:rPr>
              <w:t xml:space="preserve"> согласно образцу </w:t>
            </w:r>
            <w:r w:rsidRPr="00CA1D84">
              <w:rPr>
                <w:rFonts w:eastAsia="Calibri"/>
                <w:b/>
                <w:bCs/>
                <w:i/>
                <w:szCs w:val="22"/>
                <w:lang w:eastAsia="ar-SA"/>
              </w:rPr>
              <w:t>Приложение №2</w:t>
            </w:r>
            <w:r>
              <w:rPr>
                <w:rFonts w:eastAsia="Calibri"/>
                <w:bCs/>
                <w:szCs w:val="22"/>
                <w:lang w:eastAsia="ar-SA"/>
              </w:rPr>
              <w:t xml:space="preserve"> к Техническому заданию.</w:t>
            </w:r>
          </w:p>
          <w:p w14:paraId="48E8EA12" w14:textId="127A0DF2" w:rsidR="008B2BAF" w:rsidRPr="00071988" w:rsidRDefault="008B2BAF" w:rsidP="008B2BAF">
            <w:pPr>
              <w:suppressAutoHyphens/>
              <w:jc w:val="both"/>
              <w:rPr>
                <w:rFonts w:eastAsia="Calibri"/>
                <w:bCs/>
                <w:szCs w:val="22"/>
                <w:vertAlign w:val="superscript"/>
                <w:lang w:eastAsia="ar-SA"/>
              </w:rPr>
            </w:pPr>
            <w:r>
              <w:t xml:space="preserve">- Технический </w:t>
            </w:r>
            <w:r w:rsidRPr="00361F02">
              <w:t xml:space="preserve">отчет по результатам технического освидетельствования металлоконструкций каркаса котла </w:t>
            </w:r>
            <w:r>
              <w:rPr>
                <w:rFonts w:eastAsia="Calibri"/>
                <w:bCs/>
                <w:szCs w:val="22"/>
                <w:lang w:eastAsia="ar-SA"/>
              </w:rPr>
              <w:t xml:space="preserve">согласно образцу </w:t>
            </w:r>
            <w:r w:rsidRPr="00361F02">
              <w:rPr>
                <w:b/>
                <w:i/>
              </w:rPr>
              <w:t>Приложение №3</w:t>
            </w:r>
            <w:r>
              <w:rPr>
                <w:b/>
                <w:i/>
              </w:rPr>
              <w:t xml:space="preserve"> в течении 30 календарных дней после проведения обследования. </w:t>
            </w:r>
            <w:r w:rsidRPr="00085FB1">
              <w:t>Предварительный скан</w:t>
            </w:r>
            <w:r>
              <w:t xml:space="preserve"> отчета</w:t>
            </w:r>
            <w:r w:rsidRPr="00085FB1">
              <w:t xml:space="preserve"> для согласования направляется по электронной почте</w:t>
            </w:r>
            <w:r>
              <w:rPr>
                <w:b/>
                <w:i/>
              </w:rPr>
              <w:t xml:space="preserve"> </w:t>
            </w:r>
            <w:hyperlink r:id="rId5" w:history="1">
              <w:r w:rsidRPr="00642739">
                <w:rPr>
                  <w:rStyle w:val="a5"/>
                  <w:b/>
                  <w:i/>
                  <w:lang w:val="en-US"/>
                </w:rPr>
                <w:t>mma</w:t>
              </w:r>
              <w:r w:rsidRPr="00642739">
                <w:rPr>
                  <w:rStyle w:val="a5"/>
                  <w:b/>
                  <w:i/>
                </w:rPr>
                <w:t>@</w:t>
              </w:r>
              <w:r w:rsidRPr="00642739">
                <w:rPr>
                  <w:rStyle w:val="a5"/>
                  <w:b/>
                  <w:i/>
                  <w:lang w:val="en-US"/>
                </w:rPr>
                <w:t>gging</w:t>
              </w:r>
              <w:r w:rsidRPr="00642739">
                <w:rPr>
                  <w:rStyle w:val="a5"/>
                  <w:b/>
                  <w:i/>
                </w:rPr>
                <w:t>.</w:t>
              </w:r>
              <w:r w:rsidRPr="00642739">
                <w:rPr>
                  <w:rStyle w:val="a5"/>
                  <w:b/>
                  <w:i/>
                  <w:lang w:val="en-US"/>
                </w:rPr>
                <w:t>ru</w:t>
              </w:r>
            </w:hyperlink>
            <w:r>
              <w:rPr>
                <w:b/>
                <w:i/>
              </w:rPr>
              <w:t xml:space="preserve">. </w:t>
            </w:r>
            <w:r w:rsidRPr="00071988">
              <w:t>После чего предоставляется на бумажном носителе прошитый и пронумерованный с печатью организации-исполнителя.</w:t>
            </w:r>
          </w:p>
          <w:p w14:paraId="7A420BA8" w14:textId="25FEFAF0" w:rsidR="008B2BAF" w:rsidRPr="00BB567C" w:rsidRDefault="008B2BAF" w:rsidP="008B2BAF">
            <w:pPr>
              <w:suppressAutoHyphens/>
              <w:jc w:val="both"/>
              <w:rPr>
                <w:color w:val="808080" w:themeColor="background1" w:themeShade="80"/>
              </w:rPr>
            </w:pPr>
            <w:r w:rsidRPr="0094518D">
              <w:rPr>
                <w:rFonts w:eastAsia="Calibri"/>
                <w:bCs/>
                <w:szCs w:val="22"/>
                <w:lang w:eastAsia="ar-SA"/>
              </w:rPr>
              <w:t>- Акты о приемке выполненных Работ</w:t>
            </w:r>
            <w:r>
              <w:rPr>
                <w:rFonts w:eastAsia="Calibri"/>
                <w:bCs/>
                <w:szCs w:val="22"/>
                <w:lang w:eastAsia="ar-SA"/>
              </w:rPr>
              <w:t xml:space="preserve">, счета исполнитель направляет по средствам электронного документооборота (СБИС, </w:t>
            </w:r>
            <w:proofErr w:type="spellStart"/>
            <w:r>
              <w:rPr>
                <w:rFonts w:eastAsia="Calibri"/>
                <w:bCs/>
                <w:szCs w:val="22"/>
                <w:lang w:eastAsia="ar-SA"/>
              </w:rPr>
              <w:t>КонтурДиадок</w:t>
            </w:r>
            <w:proofErr w:type="spellEnd"/>
            <w:r>
              <w:rPr>
                <w:rFonts w:eastAsia="Calibri"/>
                <w:bCs/>
                <w:szCs w:val="22"/>
                <w:lang w:eastAsia="ar-SA"/>
              </w:rPr>
              <w:t>) по факту оказания услуг</w:t>
            </w:r>
            <w:r w:rsidRPr="0094518D">
              <w:rPr>
                <w:rFonts w:eastAsia="Calibri"/>
                <w:bCs/>
                <w:szCs w:val="22"/>
                <w:lang w:eastAsia="ar-SA"/>
              </w:rPr>
              <w:t>;</w:t>
            </w:r>
          </w:p>
        </w:tc>
      </w:tr>
      <w:tr w:rsidR="008B2BAF" w:rsidRPr="00AD4108" w14:paraId="6B533C67" w14:textId="77777777" w:rsidTr="00C15EC1">
        <w:trPr>
          <w:trHeight w:val="715"/>
        </w:trPr>
        <w:tc>
          <w:tcPr>
            <w:tcW w:w="710" w:type="dxa"/>
            <w:vAlign w:val="center"/>
          </w:tcPr>
          <w:p w14:paraId="341F6D34" w14:textId="77777777" w:rsidR="008B2BAF" w:rsidRPr="007D47A4" w:rsidRDefault="008B2BAF" w:rsidP="008B2BAF">
            <w:pPr>
              <w:pStyle w:val="a3"/>
              <w:numPr>
                <w:ilvl w:val="0"/>
                <w:numId w:val="1"/>
              </w:numPr>
              <w:spacing w:line="360" w:lineRule="auto"/>
              <w:jc w:val="center"/>
              <w:rPr>
                <w:b/>
                <w:color w:val="0D0D0D" w:themeColor="text1" w:themeTint="F2"/>
              </w:rPr>
            </w:pPr>
          </w:p>
        </w:tc>
        <w:tc>
          <w:tcPr>
            <w:tcW w:w="3399" w:type="dxa"/>
            <w:tcBorders>
              <w:right w:val="single" w:sz="4" w:space="0" w:color="auto"/>
            </w:tcBorders>
            <w:vAlign w:val="center"/>
          </w:tcPr>
          <w:p w14:paraId="34AD4419" w14:textId="22778C85" w:rsidR="008B2BAF" w:rsidRPr="001F301A" w:rsidRDefault="008B2BAF" w:rsidP="008B2BAF">
            <w:pPr>
              <w:spacing w:line="360" w:lineRule="auto"/>
              <w:jc w:val="center"/>
            </w:pPr>
            <w:r w:rsidRPr="001F301A">
              <w:t>Ориентировочная стоимость закупки/работ/услуг</w:t>
            </w:r>
          </w:p>
        </w:tc>
        <w:tc>
          <w:tcPr>
            <w:tcW w:w="6095" w:type="dxa"/>
            <w:tcBorders>
              <w:top w:val="single" w:sz="4" w:space="0" w:color="auto"/>
              <w:left w:val="single" w:sz="4" w:space="0" w:color="auto"/>
              <w:bottom w:val="single" w:sz="4" w:space="0" w:color="auto"/>
              <w:right w:val="single" w:sz="4" w:space="0" w:color="auto"/>
            </w:tcBorders>
          </w:tcPr>
          <w:p w14:paraId="761A559C" w14:textId="7160E800" w:rsidR="008B2BAF" w:rsidRPr="00607ECA" w:rsidRDefault="008B2BAF" w:rsidP="008B2BAF">
            <w:r w:rsidRPr="00750B64">
              <w:t>Стоимость работ должна включать все расходы, связанные с оказанием услуг, необходимые для выполнения Исполнителем всех обязательств.</w:t>
            </w:r>
          </w:p>
        </w:tc>
      </w:tr>
      <w:tr w:rsidR="008B2BAF" w:rsidRPr="00AD4108" w14:paraId="7D8007AA" w14:textId="77777777" w:rsidTr="00C15EC1">
        <w:trPr>
          <w:trHeight w:val="715"/>
        </w:trPr>
        <w:tc>
          <w:tcPr>
            <w:tcW w:w="710" w:type="dxa"/>
            <w:vAlign w:val="center"/>
          </w:tcPr>
          <w:p w14:paraId="59B89D20" w14:textId="77777777" w:rsidR="008B2BAF" w:rsidRPr="007D47A4" w:rsidRDefault="008B2BAF" w:rsidP="008B2BAF">
            <w:pPr>
              <w:pStyle w:val="a3"/>
              <w:numPr>
                <w:ilvl w:val="0"/>
                <w:numId w:val="1"/>
              </w:numPr>
              <w:spacing w:line="360" w:lineRule="auto"/>
              <w:jc w:val="center"/>
              <w:rPr>
                <w:b/>
                <w:color w:val="0D0D0D" w:themeColor="text1" w:themeTint="F2"/>
              </w:rPr>
            </w:pPr>
          </w:p>
        </w:tc>
        <w:tc>
          <w:tcPr>
            <w:tcW w:w="3399" w:type="dxa"/>
            <w:tcBorders>
              <w:right w:val="single" w:sz="4" w:space="0" w:color="auto"/>
            </w:tcBorders>
            <w:vAlign w:val="center"/>
          </w:tcPr>
          <w:p w14:paraId="1A70ACE5" w14:textId="77777777" w:rsidR="008B2BAF" w:rsidRPr="001F301A" w:rsidRDefault="008B2BAF" w:rsidP="008B2BAF">
            <w:pPr>
              <w:spacing w:line="360" w:lineRule="auto"/>
              <w:jc w:val="center"/>
              <w:rPr>
                <w:color w:val="0D0D0D" w:themeColor="text1" w:themeTint="F2"/>
              </w:rPr>
            </w:pPr>
            <w:r w:rsidRPr="001F301A">
              <w:t>Порядок оплаты</w:t>
            </w:r>
          </w:p>
        </w:tc>
        <w:tc>
          <w:tcPr>
            <w:tcW w:w="6095" w:type="dxa"/>
            <w:tcBorders>
              <w:top w:val="single" w:sz="4" w:space="0" w:color="auto"/>
              <w:left w:val="single" w:sz="4" w:space="0" w:color="auto"/>
              <w:bottom w:val="single" w:sz="4" w:space="0" w:color="auto"/>
              <w:right w:val="single" w:sz="4" w:space="0" w:color="auto"/>
            </w:tcBorders>
          </w:tcPr>
          <w:p w14:paraId="3B1DB39B" w14:textId="69C8A956" w:rsidR="008B2BAF" w:rsidRPr="001F301A" w:rsidRDefault="008B2BAF" w:rsidP="008B2BAF">
            <w:pPr>
              <w:rPr>
                <w:color w:val="808080" w:themeColor="background1" w:themeShade="80"/>
              </w:rPr>
            </w:pPr>
            <w:r w:rsidRPr="00607ECA">
              <w:t xml:space="preserve">Заказчик производит оплату Договора, в течение </w:t>
            </w:r>
            <w:r>
              <w:t>5</w:t>
            </w:r>
            <w:r w:rsidRPr="00607ECA">
              <w:t xml:space="preserve"> (</w:t>
            </w:r>
            <w:r>
              <w:t>пят</w:t>
            </w:r>
            <w:r w:rsidR="002D4ABE">
              <w:t>и</w:t>
            </w:r>
            <w:r w:rsidRPr="00607ECA">
              <w:t xml:space="preserve">) </w:t>
            </w:r>
            <w:r>
              <w:t>рабочих</w:t>
            </w:r>
            <w:r w:rsidRPr="00607ECA">
              <w:t xml:space="preserve"> дней с момента подписания Заказчиком акта об оказании услуг, при условии, что услуги оказаны исполнителем надлежащим образом и в полном объеме и Исполнителем переданы надлежащим образом оформленные счета на оплату оказанных услуг</w:t>
            </w:r>
            <w:r>
              <w:t>.</w:t>
            </w:r>
          </w:p>
        </w:tc>
      </w:tr>
      <w:tr w:rsidR="008B2BAF" w:rsidRPr="00AD4108" w14:paraId="49C8DAB7" w14:textId="77777777" w:rsidTr="00C15EC1">
        <w:trPr>
          <w:trHeight w:val="715"/>
        </w:trPr>
        <w:tc>
          <w:tcPr>
            <w:tcW w:w="710" w:type="dxa"/>
            <w:vAlign w:val="center"/>
          </w:tcPr>
          <w:p w14:paraId="33B2F41A" w14:textId="77777777" w:rsidR="008B2BAF" w:rsidRPr="007D47A4" w:rsidRDefault="008B2BAF" w:rsidP="008B2BAF">
            <w:pPr>
              <w:pStyle w:val="a3"/>
              <w:numPr>
                <w:ilvl w:val="0"/>
                <w:numId w:val="1"/>
              </w:numPr>
              <w:spacing w:line="360" w:lineRule="auto"/>
              <w:jc w:val="center"/>
              <w:rPr>
                <w:b/>
                <w:color w:val="0D0D0D" w:themeColor="text1" w:themeTint="F2"/>
                <w:sz w:val="28"/>
                <w:szCs w:val="28"/>
              </w:rPr>
            </w:pPr>
          </w:p>
        </w:tc>
        <w:tc>
          <w:tcPr>
            <w:tcW w:w="3399" w:type="dxa"/>
            <w:tcBorders>
              <w:right w:val="single" w:sz="4" w:space="0" w:color="auto"/>
            </w:tcBorders>
            <w:vAlign w:val="center"/>
          </w:tcPr>
          <w:p w14:paraId="734B6049" w14:textId="77777777" w:rsidR="008B2BAF" w:rsidRPr="009110D3" w:rsidRDefault="008B2BAF" w:rsidP="008B2BAF">
            <w:pPr>
              <w:spacing w:line="360" w:lineRule="auto"/>
              <w:jc w:val="center"/>
              <w:rPr>
                <w:color w:val="0D0D0D" w:themeColor="text1" w:themeTint="F2"/>
              </w:rPr>
            </w:pPr>
            <w:r w:rsidRPr="009110D3">
              <w:rPr>
                <w:color w:val="0D0D0D" w:themeColor="text1" w:themeTint="F2"/>
              </w:rPr>
              <w:t>Специалист</w:t>
            </w:r>
          </w:p>
        </w:tc>
        <w:tc>
          <w:tcPr>
            <w:tcW w:w="6095" w:type="dxa"/>
            <w:tcBorders>
              <w:top w:val="single" w:sz="4" w:space="0" w:color="auto"/>
              <w:left w:val="single" w:sz="4" w:space="0" w:color="auto"/>
              <w:bottom w:val="single" w:sz="4" w:space="0" w:color="auto"/>
              <w:right w:val="single" w:sz="4" w:space="0" w:color="auto"/>
            </w:tcBorders>
          </w:tcPr>
          <w:p w14:paraId="2DB9BE5E" w14:textId="002518BE" w:rsidR="008B2BAF" w:rsidRPr="009110D3" w:rsidRDefault="008B2BAF" w:rsidP="008B2BAF">
            <w:pPr>
              <w:rPr>
                <w:color w:val="808080" w:themeColor="background1" w:themeShade="80"/>
              </w:rPr>
            </w:pPr>
            <w:r w:rsidRPr="00924368">
              <w:t>Ведущий специалист по промышленной безопасности Шмелёва М.А.</w:t>
            </w:r>
          </w:p>
        </w:tc>
      </w:tr>
    </w:tbl>
    <w:p w14:paraId="55F621D0" w14:textId="4D634474" w:rsidR="007A7F48" w:rsidRDefault="007A7F48"/>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7C5F85" w:rsidRPr="009110D3" w14:paraId="68851858" w14:textId="77777777" w:rsidTr="00C15EC1">
        <w:tc>
          <w:tcPr>
            <w:tcW w:w="4957" w:type="dxa"/>
          </w:tcPr>
          <w:p w14:paraId="384EF823" w14:textId="77777777" w:rsidR="00924368" w:rsidRDefault="007C5F85" w:rsidP="00924368">
            <w:pPr>
              <w:spacing w:line="360" w:lineRule="auto"/>
              <w:rPr>
                <w:color w:val="000000" w:themeColor="text1"/>
              </w:rPr>
            </w:pPr>
            <w:r w:rsidRPr="009110D3">
              <w:rPr>
                <w:color w:val="000000" w:themeColor="text1"/>
              </w:rPr>
              <w:t xml:space="preserve">Исп. </w:t>
            </w:r>
            <w:r w:rsidR="00924368">
              <w:rPr>
                <w:color w:val="000000" w:themeColor="text1"/>
              </w:rPr>
              <w:t>Ведущий специалист по промышленной безопасности</w:t>
            </w:r>
          </w:p>
          <w:p w14:paraId="76A6458D" w14:textId="0EB45DF9" w:rsidR="007C5F85" w:rsidRPr="009110D3" w:rsidRDefault="007C5F85" w:rsidP="00924368">
            <w:pPr>
              <w:spacing w:line="360" w:lineRule="auto"/>
              <w:rPr>
                <w:color w:val="000000" w:themeColor="text1"/>
              </w:rPr>
            </w:pPr>
            <w:r w:rsidRPr="009110D3">
              <w:rPr>
                <w:color w:val="000000" w:themeColor="text1"/>
              </w:rPr>
              <w:t>Тел.</w:t>
            </w:r>
            <w:r w:rsidRPr="009110D3">
              <w:rPr>
                <w:color w:val="808080" w:themeColor="background1" w:themeShade="80"/>
              </w:rPr>
              <w:t xml:space="preserve"> </w:t>
            </w:r>
            <w:r w:rsidR="00924368" w:rsidRPr="00924368">
              <w:t>8 (495) 401- 60-30</w:t>
            </w:r>
          </w:p>
        </w:tc>
        <w:tc>
          <w:tcPr>
            <w:tcW w:w="4388" w:type="dxa"/>
          </w:tcPr>
          <w:p w14:paraId="63C71BDF" w14:textId="5BB13BAF" w:rsidR="007C5F85" w:rsidRPr="009110D3" w:rsidRDefault="00924368" w:rsidP="00C15EC1">
            <w:pPr>
              <w:spacing w:line="360" w:lineRule="auto"/>
              <w:jc w:val="right"/>
              <w:rPr>
                <w:color w:val="808080" w:themeColor="background1" w:themeShade="80"/>
              </w:rPr>
            </w:pPr>
            <w:r>
              <w:t>Шмелёва М.А.</w:t>
            </w:r>
          </w:p>
        </w:tc>
      </w:tr>
    </w:tbl>
    <w:p w14:paraId="0612081E" w14:textId="4F3D700B" w:rsidR="007A7F48" w:rsidRDefault="007A7F48">
      <w:r>
        <w:t xml:space="preserve">Согласовано (должность) </w:t>
      </w:r>
      <w:r>
        <w:tab/>
      </w:r>
      <w:r>
        <w:tab/>
        <w:t>________________/Ф.И.О./</w:t>
      </w:r>
    </w:p>
    <w:p w14:paraId="41C9BB5B" w14:textId="512A49F8" w:rsidR="00A224FF" w:rsidRDefault="007A7F48" w:rsidP="00071988">
      <w:r>
        <w:t>Утверждено Генеральный директор _______________ / Беткер А.К./</w:t>
      </w:r>
    </w:p>
    <w:sectPr w:rsidR="00A224FF" w:rsidSect="00071988">
      <w:pgSz w:w="11906" w:h="16838"/>
      <w:pgMar w:top="709" w:right="85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110"/>
    <w:multiLevelType w:val="hybridMultilevel"/>
    <w:tmpl w:val="A5C6166E"/>
    <w:lvl w:ilvl="0" w:tplc="FF644E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A276BA"/>
    <w:multiLevelType w:val="multilevel"/>
    <w:tmpl w:val="E730A89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686B80"/>
    <w:multiLevelType w:val="hybridMultilevel"/>
    <w:tmpl w:val="EEE8E8FE"/>
    <w:lvl w:ilvl="0" w:tplc="0534F09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E131FA"/>
    <w:multiLevelType w:val="hybridMultilevel"/>
    <w:tmpl w:val="F482A892"/>
    <w:lvl w:ilvl="0" w:tplc="8286EFF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130DF"/>
    <w:multiLevelType w:val="hybridMultilevel"/>
    <w:tmpl w:val="0C5A1A24"/>
    <w:lvl w:ilvl="0" w:tplc="BF0016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74324998">
    <w:abstractNumId w:val="1"/>
  </w:num>
  <w:num w:numId="2" w16cid:durableId="1847790959">
    <w:abstractNumId w:val="0"/>
  </w:num>
  <w:num w:numId="3" w16cid:durableId="1394352965">
    <w:abstractNumId w:val="3"/>
  </w:num>
  <w:num w:numId="4" w16cid:durableId="117267245">
    <w:abstractNumId w:val="2"/>
  </w:num>
  <w:num w:numId="5" w16cid:durableId="47876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48"/>
    <w:rsid w:val="00004EDF"/>
    <w:rsid w:val="00054B96"/>
    <w:rsid w:val="000648E6"/>
    <w:rsid w:val="00071988"/>
    <w:rsid w:val="00085FB1"/>
    <w:rsid w:val="000C5D4A"/>
    <w:rsid w:val="000E42C4"/>
    <w:rsid w:val="000F22B5"/>
    <w:rsid w:val="001443ED"/>
    <w:rsid w:val="001806BC"/>
    <w:rsid w:val="00186007"/>
    <w:rsid w:val="00193FF8"/>
    <w:rsid w:val="001B45F3"/>
    <w:rsid w:val="002224BE"/>
    <w:rsid w:val="0023743D"/>
    <w:rsid w:val="00242B1E"/>
    <w:rsid w:val="002B16C7"/>
    <w:rsid w:val="002C6FB9"/>
    <w:rsid w:val="002D37F7"/>
    <w:rsid w:val="002D4ABE"/>
    <w:rsid w:val="002E15E7"/>
    <w:rsid w:val="002E4BF3"/>
    <w:rsid w:val="003055FB"/>
    <w:rsid w:val="003109B1"/>
    <w:rsid w:val="0031280A"/>
    <w:rsid w:val="00347536"/>
    <w:rsid w:val="00361F02"/>
    <w:rsid w:val="003853EA"/>
    <w:rsid w:val="003B5949"/>
    <w:rsid w:val="003C0D77"/>
    <w:rsid w:val="003C5BA7"/>
    <w:rsid w:val="00407608"/>
    <w:rsid w:val="00432B1B"/>
    <w:rsid w:val="004F1C29"/>
    <w:rsid w:val="00500641"/>
    <w:rsid w:val="00502624"/>
    <w:rsid w:val="00510D56"/>
    <w:rsid w:val="005552C5"/>
    <w:rsid w:val="005B663D"/>
    <w:rsid w:val="005B6C6C"/>
    <w:rsid w:val="00607ECA"/>
    <w:rsid w:val="00627521"/>
    <w:rsid w:val="00627A58"/>
    <w:rsid w:val="00631917"/>
    <w:rsid w:val="00640190"/>
    <w:rsid w:val="00670728"/>
    <w:rsid w:val="006747C3"/>
    <w:rsid w:val="006D504E"/>
    <w:rsid w:val="006E029A"/>
    <w:rsid w:val="0071093C"/>
    <w:rsid w:val="00734545"/>
    <w:rsid w:val="00750B64"/>
    <w:rsid w:val="00762C9C"/>
    <w:rsid w:val="00765882"/>
    <w:rsid w:val="00782064"/>
    <w:rsid w:val="007A7F48"/>
    <w:rsid w:val="007B1DA0"/>
    <w:rsid w:val="007B6351"/>
    <w:rsid w:val="007C5F85"/>
    <w:rsid w:val="007F5E6F"/>
    <w:rsid w:val="00812F7D"/>
    <w:rsid w:val="00833CF7"/>
    <w:rsid w:val="00856B31"/>
    <w:rsid w:val="0087220A"/>
    <w:rsid w:val="008805A2"/>
    <w:rsid w:val="00892097"/>
    <w:rsid w:val="008A5211"/>
    <w:rsid w:val="008B0BCE"/>
    <w:rsid w:val="008B2BAF"/>
    <w:rsid w:val="008F2DF4"/>
    <w:rsid w:val="008F400F"/>
    <w:rsid w:val="008F6E44"/>
    <w:rsid w:val="00912920"/>
    <w:rsid w:val="00924368"/>
    <w:rsid w:val="00926FF6"/>
    <w:rsid w:val="0094357C"/>
    <w:rsid w:val="0094518D"/>
    <w:rsid w:val="00996853"/>
    <w:rsid w:val="009973CB"/>
    <w:rsid w:val="009B1220"/>
    <w:rsid w:val="009C4C6B"/>
    <w:rsid w:val="009D79A7"/>
    <w:rsid w:val="009E4A87"/>
    <w:rsid w:val="00A07C86"/>
    <w:rsid w:val="00A224FF"/>
    <w:rsid w:val="00A26C27"/>
    <w:rsid w:val="00A32DCD"/>
    <w:rsid w:val="00A40881"/>
    <w:rsid w:val="00A508A5"/>
    <w:rsid w:val="00A636F6"/>
    <w:rsid w:val="00AF2D61"/>
    <w:rsid w:val="00AF5411"/>
    <w:rsid w:val="00B06BF2"/>
    <w:rsid w:val="00B12B75"/>
    <w:rsid w:val="00B43BB7"/>
    <w:rsid w:val="00B5007E"/>
    <w:rsid w:val="00B95D09"/>
    <w:rsid w:val="00BA3F9A"/>
    <w:rsid w:val="00BA6FDF"/>
    <w:rsid w:val="00BB02A0"/>
    <w:rsid w:val="00BB2BD6"/>
    <w:rsid w:val="00BB567C"/>
    <w:rsid w:val="00BB6970"/>
    <w:rsid w:val="00BE7660"/>
    <w:rsid w:val="00C14117"/>
    <w:rsid w:val="00C20B34"/>
    <w:rsid w:val="00C651F0"/>
    <w:rsid w:val="00C91F1A"/>
    <w:rsid w:val="00CA1A2F"/>
    <w:rsid w:val="00CA1D84"/>
    <w:rsid w:val="00CC35A1"/>
    <w:rsid w:val="00CE49D5"/>
    <w:rsid w:val="00D06A56"/>
    <w:rsid w:val="00D2564A"/>
    <w:rsid w:val="00D260D9"/>
    <w:rsid w:val="00D2748A"/>
    <w:rsid w:val="00D8592B"/>
    <w:rsid w:val="00DB0290"/>
    <w:rsid w:val="00DC328E"/>
    <w:rsid w:val="00DE7DF0"/>
    <w:rsid w:val="00E10093"/>
    <w:rsid w:val="00E23CC4"/>
    <w:rsid w:val="00E56091"/>
    <w:rsid w:val="00E65D46"/>
    <w:rsid w:val="00E74FAC"/>
    <w:rsid w:val="00E7544C"/>
    <w:rsid w:val="00E91833"/>
    <w:rsid w:val="00ED5126"/>
    <w:rsid w:val="00F056DD"/>
    <w:rsid w:val="00F150F6"/>
    <w:rsid w:val="00F4714D"/>
    <w:rsid w:val="00F639C8"/>
    <w:rsid w:val="00FD4C17"/>
    <w:rsid w:val="00FE77E7"/>
    <w:rsid w:val="00FF5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1A3D"/>
  <w15:chartTrackingRefBased/>
  <w15:docId w15:val="{C0EBF535-EC6F-47A4-82BB-60E36E73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F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7F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F48"/>
    <w:rPr>
      <w:rFonts w:asciiTheme="majorHAnsi" w:eastAsiaTheme="majorEastAsia" w:hAnsiTheme="majorHAnsi" w:cstheme="majorBidi"/>
      <w:color w:val="2F5496" w:themeColor="accent1" w:themeShade="BF"/>
      <w:sz w:val="32"/>
      <w:szCs w:val="32"/>
      <w:lang w:eastAsia="ru-RU"/>
    </w:rPr>
  </w:style>
  <w:style w:type="paragraph" w:styleId="a3">
    <w:name w:val="List Paragraph"/>
    <w:basedOn w:val="a"/>
    <w:uiPriority w:val="34"/>
    <w:qFormat/>
    <w:rsid w:val="007A7F48"/>
    <w:pPr>
      <w:spacing w:after="200" w:line="276" w:lineRule="auto"/>
      <w:ind w:left="720"/>
      <w:contextualSpacing/>
    </w:pPr>
    <w:rPr>
      <w:rFonts w:eastAsiaTheme="minorHAnsi"/>
      <w:sz w:val="22"/>
      <w:szCs w:val="22"/>
      <w:lang w:eastAsia="en-US"/>
    </w:rPr>
  </w:style>
  <w:style w:type="table" w:styleId="a4">
    <w:name w:val="Table Grid"/>
    <w:basedOn w:val="a1"/>
    <w:uiPriority w:val="39"/>
    <w:rsid w:val="007A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doc-mark">
    <w:name w:val="js-doc-mark"/>
    <w:basedOn w:val="a0"/>
    <w:rsid w:val="008B0BCE"/>
  </w:style>
  <w:style w:type="character" w:styleId="a5">
    <w:name w:val="Hyperlink"/>
    <w:basedOn w:val="a0"/>
    <w:uiPriority w:val="99"/>
    <w:unhideWhenUsed/>
    <w:rsid w:val="00071988"/>
    <w:rPr>
      <w:color w:val="0563C1" w:themeColor="hyperlink"/>
      <w:u w:val="single"/>
    </w:rPr>
  </w:style>
  <w:style w:type="character" w:styleId="a6">
    <w:name w:val="Unresolved Mention"/>
    <w:basedOn w:val="a0"/>
    <w:uiPriority w:val="99"/>
    <w:semiHidden/>
    <w:unhideWhenUsed/>
    <w:rsid w:val="00071988"/>
    <w:rPr>
      <w:color w:val="605E5C"/>
      <w:shd w:val="clear" w:color="auto" w:fill="E1DFDD"/>
    </w:rPr>
  </w:style>
  <w:style w:type="paragraph" w:styleId="a7">
    <w:name w:val="Revision"/>
    <w:hidden/>
    <w:uiPriority w:val="99"/>
    <w:semiHidden/>
    <w:rsid w:val="009E4A87"/>
    <w:pPr>
      <w:spacing w:after="0"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9E4A87"/>
    <w:rPr>
      <w:sz w:val="16"/>
      <w:szCs w:val="16"/>
    </w:rPr>
  </w:style>
  <w:style w:type="paragraph" w:styleId="a9">
    <w:name w:val="annotation text"/>
    <w:basedOn w:val="a"/>
    <w:link w:val="aa"/>
    <w:uiPriority w:val="99"/>
    <w:semiHidden/>
    <w:unhideWhenUsed/>
    <w:rsid w:val="009E4A87"/>
    <w:rPr>
      <w:sz w:val="20"/>
      <w:szCs w:val="20"/>
    </w:rPr>
  </w:style>
  <w:style w:type="character" w:customStyle="1" w:styleId="aa">
    <w:name w:val="Текст примечания Знак"/>
    <w:basedOn w:val="a0"/>
    <w:link w:val="a9"/>
    <w:uiPriority w:val="99"/>
    <w:semiHidden/>
    <w:rsid w:val="009E4A87"/>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E4A87"/>
    <w:rPr>
      <w:b/>
      <w:bCs/>
    </w:rPr>
  </w:style>
  <w:style w:type="character" w:customStyle="1" w:styleId="ac">
    <w:name w:val="Тема примечания Знак"/>
    <w:basedOn w:val="aa"/>
    <w:link w:val="ab"/>
    <w:uiPriority w:val="99"/>
    <w:semiHidden/>
    <w:rsid w:val="009E4A87"/>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004EDF"/>
    <w:rPr>
      <w:rFonts w:ascii="Segoe UI" w:hAnsi="Segoe UI" w:cs="Segoe UI"/>
      <w:sz w:val="18"/>
      <w:szCs w:val="18"/>
    </w:rPr>
  </w:style>
  <w:style w:type="character" w:customStyle="1" w:styleId="ae">
    <w:name w:val="Текст выноски Знак"/>
    <w:basedOn w:val="a0"/>
    <w:link w:val="ad"/>
    <w:uiPriority w:val="99"/>
    <w:semiHidden/>
    <w:rsid w:val="00004EDF"/>
    <w:rPr>
      <w:rFonts w:ascii="Segoe UI" w:eastAsia="Times New Roman" w:hAnsi="Segoe UI" w:cs="Segoe UI"/>
      <w:sz w:val="18"/>
      <w:szCs w:val="18"/>
      <w:lang w:eastAsia="ru-RU"/>
    </w:rPr>
  </w:style>
  <w:style w:type="paragraph" w:customStyle="1" w:styleId="ConsPlusNormal">
    <w:name w:val="ConsPlusNormal"/>
    <w:link w:val="ConsPlusNormal0"/>
    <w:qFormat/>
    <w:rsid w:val="008B2BAF"/>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8B2BAF"/>
    <w:rPr>
      <w:rFonts w:ascii="Arial" w:eastAsia="Times New Roman" w:hAnsi="Arial" w:cs="Arial"/>
      <w:kern w:val="1"/>
      <w:sz w:val="20"/>
      <w:szCs w:val="20"/>
      <w:lang w:eastAsia="ar-SA"/>
    </w:rPr>
  </w:style>
  <w:style w:type="paragraph" w:customStyle="1" w:styleId="WW-">
    <w:name w:val="WW-Базовый"/>
    <w:rsid w:val="008B2BAF"/>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181">
      <w:bodyDiv w:val="1"/>
      <w:marLeft w:val="0"/>
      <w:marRight w:val="0"/>
      <w:marTop w:val="0"/>
      <w:marBottom w:val="0"/>
      <w:divBdr>
        <w:top w:val="none" w:sz="0" w:space="0" w:color="auto"/>
        <w:left w:val="none" w:sz="0" w:space="0" w:color="auto"/>
        <w:bottom w:val="none" w:sz="0" w:space="0" w:color="auto"/>
        <w:right w:val="none" w:sz="0" w:space="0" w:color="auto"/>
      </w:divBdr>
    </w:div>
    <w:div w:id="10588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a@ggi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Лунин</dc:creator>
  <cp:keywords/>
  <dc:description/>
  <cp:lastModifiedBy>Тихонова Наталья Олеговна</cp:lastModifiedBy>
  <cp:revision>11</cp:revision>
  <dcterms:created xsi:type="dcterms:W3CDTF">2025-01-17T11:20:00Z</dcterms:created>
  <dcterms:modified xsi:type="dcterms:W3CDTF">2025-01-24T12:04:00Z</dcterms:modified>
</cp:coreProperties>
</file>