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A55384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A55384">
              <w:rPr>
                <w:sz w:val="20"/>
                <w:szCs w:val="20"/>
              </w:rPr>
              <w:t>21</w:t>
            </w:r>
            <w:r w:rsidRPr="003B1290">
              <w:rPr>
                <w:sz w:val="20"/>
                <w:szCs w:val="20"/>
              </w:rPr>
              <w:t>»</w:t>
            </w:r>
            <w:r w:rsidR="00A55384">
              <w:rPr>
                <w:sz w:val="20"/>
                <w:szCs w:val="20"/>
              </w:rPr>
              <w:t xml:space="preserve"> февраля </w:t>
            </w:r>
            <w:r w:rsidRPr="003B1290">
              <w:rPr>
                <w:sz w:val="20"/>
                <w:szCs w:val="20"/>
              </w:rPr>
              <w:t>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0945DA">
              <w:rPr>
                <w:b/>
                <w:bCs/>
                <w:sz w:val="20"/>
                <w:szCs w:val="20"/>
              </w:rPr>
              <w:t>9031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0945DA" w:rsidRPr="000945DA">
              <w:rPr>
                <w:b/>
                <w:bCs/>
                <w:sz w:val="20"/>
                <w:szCs w:val="20"/>
              </w:rPr>
              <w:t>Поставка запорной арматуры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0945D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945DA"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0945DA" w:rsidRPr="000945DA">
              <w:rPr>
                <w:b/>
                <w:bCs/>
                <w:sz w:val="20"/>
                <w:szCs w:val="20"/>
              </w:rPr>
              <w:t>524 559,34</w:t>
            </w:r>
            <w:r w:rsidR="000945DA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A55384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55384">
              <w:rPr>
                <w:b/>
                <w:bCs/>
                <w:sz w:val="20"/>
                <w:szCs w:val="20"/>
              </w:rPr>
              <w:t>10</w:t>
            </w:r>
            <w:r w:rsidR="00CF2A69" w:rsidRPr="00A55384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A55384">
              <w:rPr>
                <w:sz w:val="20"/>
                <w:szCs w:val="20"/>
              </w:rPr>
              <w:t xml:space="preserve"> </w:t>
            </w:r>
            <w:r w:rsidR="00CF2A69" w:rsidRPr="00A55384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A55384" w:rsidRDefault="003D1EA6" w:rsidP="00A5538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З</w:t>
            </w:r>
            <w:r w:rsidR="00CF2A69" w:rsidRPr="00A55384">
              <w:rPr>
                <w:sz w:val="20"/>
                <w:szCs w:val="20"/>
              </w:rPr>
              <w:t>аявки принимаются с «</w:t>
            </w:r>
            <w:r w:rsidR="00A55384" w:rsidRPr="00A55384">
              <w:rPr>
                <w:sz w:val="20"/>
                <w:szCs w:val="20"/>
              </w:rPr>
              <w:t>24</w:t>
            </w:r>
            <w:r w:rsidR="00CF2A69" w:rsidRPr="00A55384">
              <w:rPr>
                <w:sz w:val="20"/>
                <w:szCs w:val="20"/>
              </w:rPr>
              <w:t>»</w:t>
            </w:r>
            <w:r w:rsidR="00A55384" w:rsidRPr="00A55384">
              <w:rPr>
                <w:sz w:val="20"/>
                <w:szCs w:val="20"/>
              </w:rPr>
              <w:t xml:space="preserve"> февраля</w:t>
            </w:r>
            <w:r w:rsidR="00CF2A69" w:rsidRPr="00A55384">
              <w:rPr>
                <w:sz w:val="20"/>
                <w:szCs w:val="20"/>
              </w:rPr>
              <w:t xml:space="preserve"> 20</w:t>
            </w:r>
            <w:r w:rsidR="00123A7A" w:rsidRPr="00A55384">
              <w:rPr>
                <w:sz w:val="20"/>
                <w:szCs w:val="20"/>
              </w:rPr>
              <w:t>2</w:t>
            </w:r>
            <w:r w:rsidR="00E20F57" w:rsidRPr="00A55384">
              <w:rPr>
                <w:sz w:val="20"/>
                <w:szCs w:val="20"/>
              </w:rPr>
              <w:t>5</w:t>
            </w:r>
            <w:r w:rsidR="00123A7A" w:rsidRPr="00A55384">
              <w:rPr>
                <w:sz w:val="20"/>
                <w:szCs w:val="20"/>
              </w:rPr>
              <w:t xml:space="preserve"> </w:t>
            </w:r>
            <w:r w:rsidR="00CF2A69" w:rsidRPr="00A55384">
              <w:rPr>
                <w:sz w:val="20"/>
                <w:szCs w:val="20"/>
              </w:rPr>
              <w:t xml:space="preserve">г. </w:t>
            </w:r>
            <w:r w:rsidR="00BC265B" w:rsidRPr="00A55384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A55384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A55384" w:rsidRDefault="009F7454" w:rsidP="00A5538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 xml:space="preserve">Заявки подаются </w:t>
            </w:r>
            <w:r w:rsidRPr="00A55384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A55384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A55384" w:rsidRPr="00A55384">
              <w:rPr>
                <w:sz w:val="20"/>
                <w:szCs w:val="20"/>
              </w:rPr>
              <w:t>03</w:t>
            </w:r>
            <w:r w:rsidRPr="00A55384">
              <w:rPr>
                <w:sz w:val="20"/>
                <w:szCs w:val="20"/>
              </w:rPr>
              <w:t>»</w:t>
            </w:r>
            <w:r w:rsidR="00A55384" w:rsidRPr="00A55384">
              <w:rPr>
                <w:sz w:val="20"/>
                <w:szCs w:val="20"/>
              </w:rPr>
              <w:t xml:space="preserve"> марта </w:t>
            </w:r>
            <w:r w:rsidRPr="00A55384">
              <w:rPr>
                <w:sz w:val="20"/>
                <w:szCs w:val="20"/>
              </w:rPr>
              <w:t>202</w:t>
            </w:r>
            <w:r w:rsidR="00E20F57" w:rsidRPr="00A55384">
              <w:rPr>
                <w:sz w:val="20"/>
                <w:szCs w:val="20"/>
              </w:rPr>
              <w:t>5</w:t>
            </w:r>
            <w:r w:rsidRPr="00A55384">
              <w:rPr>
                <w:sz w:val="20"/>
                <w:szCs w:val="20"/>
              </w:rPr>
              <w:t xml:space="preserve"> 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A55384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 w:rsidRPr="00A55384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2.</w:t>
            </w:r>
            <w:r w:rsidRPr="00A55384">
              <w:rPr>
                <w:b/>
                <w:sz w:val="20"/>
                <w:szCs w:val="20"/>
              </w:rPr>
              <w:t> </w:t>
            </w:r>
            <w:r w:rsidRPr="00A55384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3.</w:t>
            </w:r>
            <w:r w:rsidRPr="00A55384">
              <w:rPr>
                <w:b/>
                <w:sz w:val="20"/>
                <w:szCs w:val="20"/>
              </w:rPr>
              <w:t> </w:t>
            </w:r>
            <w:r w:rsidRPr="00A55384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A55384">
              <w:t xml:space="preserve"> 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A55384">
              <w:rPr>
                <w:sz w:val="20"/>
                <w:szCs w:val="20"/>
              </w:rPr>
              <w:t>неознакомление</w:t>
            </w:r>
            <w:proofErr w:type="spellEnd"/>
            <w:r w:rsidRPr="00A55384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A5538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A55384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Pr="00A55384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A55384" w:rsidRPr="00A55384">
              <w:rPr>
                <w:sz w:val="20"/>
                <w:szCs w:val="20"/>
              </w:rPr>
              <w:t>04</w:t>
            </w:r>
            <w:r w:rsidRPr="00A55384">
              <w:rPr>
                <w:sz w:val="20"/>
                <w:szCs w:val="20"/>
              </w:rPr>
              <w:t>»</w:t>
            </w:r>
            <w:r w:rsidR="00A55384" w:rsidRPr="00A55384">
              <w:rPr>
                <w:sz w:val="20"/>
                <w:szCs w:val="20"/>
              </w:rPr>
              <w:t xml:space="preserve"> марта </w:t>
            </w:r>
            <w:r w:rsidRPr="00A55384">
              <w:rPr>
                <w:sz w:val="20"/>
                <w:szCs w:val="20"/>
              </w:rPr>
              <w:t>202</w:t>
            </w:r>
            <w:r w:rsidR="00E20F57" w:rsidRPr="00A55384">
              <w:rPr>
                <w:sz w:val="20"/>
                <w:szCs w:val="20"/>
              </w:rPr>
              <w:t>5</w:t>
            </w:r>
            <w:r w:rsidRPr="00A55384">
              <w:rPr>
                <w:sz w:val="20"/>
                <w:szCs w:val="20"/>
              </w:rPr>
              <w:t xml:space="preserve"> г.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A55384">
              <w:rPr>
                <w:sz w:val="20"/>
                <w:szCs w:val="20"/>
              </w:rPr>
              <w:t>Закупочная комиссия МУП УИС (далее – комиссия) рассматривает заявки на соответствие их требованиям, установленным в извещении о проведении запроса котировок, и оценивает заявки.</w:t>
            </w:r>
          </w:p>
          <w:p w:rsidR="00EB4EF7" w:rsidRPr="00A55384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признаётся участник закупки, заявка которого поступила ранее котировочных заявок других участников.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 w:rsidRPr="00A55384">
              <w:rPr>
                <w:sz w:val="20"/>
                <w:szCs w:val="20"/>
              </w:rPr>
              <w:t>извещении</w:t>
            </w:r>
            <w:r w:rsidRPr="00A55384">
              <w:rPr>
                <w:sz w:val="20"/>
                <w:szCs w:val="20"/>
              </w:rPr>
              <w:t>, или предложенная в заявках цена договора превышает начальную (максимальную) цену (или цена заявки участника, чьи товары (работы, услуги) не облагаются НДС, превышает начальную (макси</w:t>
            </w:r>
            <w:r w:rsidR="001F03B2" w:rsidRPr="00A55384">
              <w:rPr>
                <w:sz w:val="20"/>
                <w:szCs w:val="20"/>
              </w:rPr>
              <w:t>мальную) цену за вычетом НДС</w:t>
            </w:r>
            <w:r w:rsidRPr="00A55384">
              <w:rPr>
                <w:sz w:val="20"/>
                <w:szCs w:val="20"/>
              </w:rPr>
              <w:t xml:space="preserve">), указанную в извещении о проведении запроса котировок, </w:t>
            </w:r>
            <w:r w:rsidR="00EF4078" w:rsidRPr="00A55384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Pr="00A55384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 xml:space="preserve">Заявки на участие </w:t>
            </w:r>
            <w:r w:rsidR="007E2E4C" w:rsidRPr="00A55384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3 дней со дня подписания размещается в ЕИС.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A5538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A55384"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8B653F" w:rsidRPr="00A55384">
              <w:rPr>
                <w:sz w:val="20"/>
                <w:szCs w:val="20"/>
              </w:rPr>
              <w:t xml:space="preserve"> извещением</w:t>
            </w:r>
            <w:r w:rsidRPr="00A55384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A5538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Default="00803A5F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  <w:r w:rsidR="000945DA">
                    <w:rPr>
                      <w:sz w:val="20"/>
                      <w:szCs w:val="20"/>
                      <w:highlight w:val="yellow"/>
                    </w:rPr>
                    <w:t xml:space="preserve"> по позициям 1-20</w:t>
                  </w:r>
                </w:p>
                <w:p w:rsidR="00BF7A84" w:rsidRDefault="00BF7A84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BF7A84" w:rsidRDefault="00BF7A84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green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>Запрет может не применяться до 1 июля 2025 г. для закупок товаров, указанных в позициях 1 - 21, 30, 32, 45 - 47, 49 - 52, 55 - 60, 62, 69 - 86, 88, 92 - 128, 137, 138, 140 - 145 Приложения № 1 (</w:t>
                  </w:r>
                  <w:proofErr w:type="spellStart"/>
                  <w:r w:rsidRPr="00BF7A84">
                    <w:rPr>
                      <w:sz w:val="20"/>
                      <w:szCs w:val="20"/>
                      <w:highlight w:val="green"/>
                    </w:rPr>
                    <w:t>пп</w:t>
                  </w:r>
                  <w:proofErr w:type="spellEnd"/>
                  <w:r w:rsidRPr="00BF7A84">
                    <w:rPr>
                      <w:sz w:val="20"/>
                      <w:szCs w:val="20"/>
                      <w:highlight w:val="green"/>
                    </w:rPr>
                    <w:t>. «к» п. 10 ПП РФ № 1875).</w:t>
                  </w:r>
                </w:p>
                <w:p w:rsidR="00BF7A84" w:rsidRPr="00EB4EF7" w:rsidRDefault="00BF7A84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В случае неприменения в соответствии с подпунктом "к" п. 10 ПП РФ № 1875 запрета, при осуществлении закупок соответствующих товаров </w:t>
                  </w:r>
                  <w:r w:rsidRPr="00BF7A84">
                    <w:rPr>
                      <w:b/>
                      <w:sz w:val="20"/>
                      <w:szCs w:val="20"/>
                      <w:highlight w:val="green"/>
                      <w:u w:val="single"/>
                    </w:rPr>
                    <w:t>применяются ограничения закупок</w:t>
                  </w:r>
                  <w:r w:rsidRPr="00BF7A84">
                    <w:rPr>
                      <w:sz w:val="20"/>
                      <w:szCs w:val="20"/>
                      <w:highlight w:val="green"/>
                    </w:rPr>
                    <w:t xml:space="preserve"> товаров (в том числе поставляемых при выполнении закупаемых работ, оказании закупаемых услуг), происходящих из иностранных государств и указанных в позициях 1 - 433 Приложения № 2.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A55384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802"/>
        <w:gridCol w:w="5094"/>
        <w:gridCol w:w="1426"/>
        <w:gridCol w:w="403"/>
        <w:gridCol w:w="361"/>
        <w:gridCol w:w="810"/>
      </w:tblGrid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игольчатый муфтовый, 15с54бк ДУ 15 РУ 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клапан игольчатый 15с54бк предназначен для перекрытия потока рабочей среды в технологической или импульсной линии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давление: не менее 160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-33+150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>Герметичность затвора - класс А ГОСТ 9544-2005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Климатическое исполнение - У2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 эксплуатации - не менее 18 месяцев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Гарантийная наработка - не менее 800 циклов (12000 часов)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прохода, мм 15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1 466,89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2 567,08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15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15б1п предназначен для установки в качестве запорного устройства на паропроводах.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15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634,62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20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15б1п предназначен для установки в качестве запорного устройства на паропроводах.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20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676,24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15б1п предназначен для установки в качестве запорного устройства на паропроводах.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25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941,75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15б1п предназначен для установки в качестве запорного устройства на паропроводах.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32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1 047,37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1 798,85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15б1п ДУ 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2 544,17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запорный вентиль латунный муфтовый 15Б3р Ду15 Ру16 (G 1/2") предназначен для установки в качестве запорного устройства на трубопроводы холодной воды и других жидкостей, неагрессивных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 материалу корпуса и уплотнений.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Максимальное рабочее давление :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+70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резина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15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Строительная длина, мм не менее 50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производства РФ или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381,4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+70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резина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528,1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+70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резина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1 026,83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+70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резина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1 173,52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латунный муфтовый, 15б3р ДУ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давление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+70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латунь ЛЦ40СД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муфтовое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резина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Масса не более 1,2 кг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Строительная длина 110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2 493,73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чугунный фланцевый с КОФ в сборе, 15кч19п ДУ 25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давление: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до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чугун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штока, клапана: нержавеющая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фланцевое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 корпуса и крышки: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>Герметичность затвора по ГОСТ 9544-93: С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Масса не более 2,8 кг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Строительная длина 120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ммв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комплекте поставки КОФ-2 фланца ДУ25 РУ 16, 2 прокладки ДУ25 РУ 16, 8 болтов с гайками М12х50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1 026,83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чугунный фланцевый с КОФ в сборе, 15кч19п ДУ 32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давление: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температура:до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чугун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штока, клапана: нержавеющая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фланцевое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 корпуса и крышки: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Герметичность затвора по ГОСТ 9544-93: С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проходной мм 32</w:t>
            </w:r>
            <w:r>
              <w:rPr>
                <w:rFonts w:ascii="Arial" w:hAnsi="Arial" w:cs="Arial"/>
                <w:sz w:val="16"/>
                <w:szCs w:val="16"/>
              </w:rPr>
              <w:br/>
              <w:t>в комплекте поставки КОФ-2 фланца ДУ 32 РУ 16, 2 прокладки ДУ32 РУ 16, 8 болтов с гайками М16х60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1 466,89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чугунный фланцевый с КОФ в сборе, 15кч19п ДУ 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давление: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температура:до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>Диаметр условный, мм 40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чугун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штока, клапана: нержавеющая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фланцевое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 корпуса и крышки: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Герметичность затвора по ГОСТ 9544-93: С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Масса не более 8,0кг</w:t>
            </w:r>
            <w:r>
              <w:rPr>
                <w:rFonts w:ascii="Arial" w:hAnsi="Arial" w:cs="Arial"/>
                <w:sz w:val="16"/>
                <w:szCs w:val="16"/>
              </w:rPr>
              <w:br/>
              <w:t>в комплекте поставки КОФ-2 фланца ДУ 40 РУ 16, 2 прокладки ДУ 40 РУ 16, 8 болтов с гайками М16х60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1 753,73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запорный чугунный фланцевый с КОФ в сборе, 15кч19п ДУ 50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давление: не менее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температура:до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+200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корпуса: чугун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штока, клапана: нержавеющая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Присоединение: фланцевое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 корпуса и крышки: фторопласт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Герметичность затвора по ГОСТ 9544-93: С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Масса не более 8,2 кг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Строительная длина 200 мм</w:t>
            </w:r>
            <w:r>
              <w:rPr>
                <w:rFonts w:ascii="Arial" w:hAnsi="Arial" w:cs="Arial"/>
                <w:sz w:val="16"/>
                <w:szCs w:val="16"/>
              </w:rPr>
              <w:br/>
              <w:t>в комплекте поставки КОФ-2 фланца ДУ 50 РУ 16, 2 прокладки ДУ 50 РУ 16, 8 болтов с гайками М16х80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2 598,37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стальной фланцевый с КОФ в сборе, 15с52нж9 ДУ 15 РУ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Максимальное давление: не менее 63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температура: -10 +425 град 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жидкости и газы, неагрессивные к материалам клапана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корпуса, диска, крышки: сталь 25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седла, шпинделя: нержавеющая сталь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Присоединение: фланцевое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комплекте поставки -КОФ 2 фланца Ду15 Ру63, 2 прокладки Ду15 Ру63, 8 болтов с гайками М12х80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Уплотнение: металл по металлу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Масса не более 7,0 кг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Строительная длина 175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7 938,83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чугунный муфтовый, 15кч18п ДУ 40 РУ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890,55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вода,пар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, ДУ 20 РУ 40 с/с КШЦП из стали 20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полнопрходной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Номинальный диаметр (мм): 20</w:t>
            </w:r>
            <w:r>
              <w:rPr>
                <w:rFonts w:ascii="Arial" w:hAnsi="Arial" w:cs="Arial"/>
                <w:sz w:val="16"/>
                <w:szCs w:val="16"/>
              </w:rPr>
              <w:br/>
              <w:t>Номинальное давление (МПа): 4,0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Присоединение к трубопроводу: </w:t>
            </w:r>
            <w:r>
              <w:rPr>
                <w:rFonts w:ascii="Arial" w:hAnsi="Arial" w:cs="Arial"/>
                <w:sz w:val="16"/>
                <w:szCs w:val="16"/>
              </w:rPr>
              <w:br/>
              <w:t>- Под приварку ГОСТ 16037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Рабочая среда: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Теплосетевая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вода в соответствии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4.8 СО 153-34.20.501-2003 «Правила технической эксплуатации электрических станций и сетей Российской Федерации», пар (до +150°С) утв. Приказом Минэнерго РФ от 19 июня 2003 г. N 229</w:t>
            </w:r>
            <w:r>
              <w:rPr>
                <w:rFonts w:ascii="Arial" w:hAnsi="Arial" w:cs="Arial"/>
                <w:sz w:val="16"/>
                <w:szCs w:val="16"/>
              </w:rPr>
              <w:br/>
              <w:t>Температура окружающей среды: от - 40°С до + 80°С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Климатическое исполнение: У по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Герметичность: Класс "А" по ГОСТ 9544-2015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Усилие на рукоятке при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страгивании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запорного органа: не более 450 Н (45 кгс)</w:t>
            </w:r>
            <w:r>
              <w:rPr>
                <w:rFonts w:ascii="Arial" w:hAnsi="Arial" w:cs="Arial"/>
                <w:sz w:val="16"/>
                <w:szCs w:val="16"/>
              </w:rPr>
              <w:br/>
              <w:t>Усилие на рукоятке при перемещении запорного органа: не более 250 Н (25 кгс)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Полный ресурс: Не менее 10 000 циклов (ГОСТ 34473)</w:t>
            </w:r>
            <w:r>
              <w:rPr>
                <w:rFonts w:ascii="Arial" w:hAnsi="Arial" w:cs="Arial"/>
                <w:sz w:val="16"/>
                <w:szCs w:val="16"/>
              </w:rPr>
              <w:br/>
              <w:t>Срок службы: Не менее 30 лет (СП 124.13330.2012)</w:t>
            </w:r>
            <w:r>
              <w:rPr>
                <w:rFonts w:ascii="Arial" w:hAnsi="Arial" w:cs="Arial"/>
                <w:sz w:val="16"/>
                <w:szCs w:val="16"/>
              </w:rPr>
              <w:br/>
              <w:t>Гарантийный срок: Не менее 5 лет с момента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Конструкция корпуса: Корпус крана должен быть изготовлен штампосварным методом из трубной заготовки или вальцованной обечайки. Конструкция крана неразборная (ГОСТ 34473)</w:t>
            </w:r>
            <w:r>
              <w:rPr>
                <w:rFonts w:ascii="Arial" w:hAnsi="Arial" w:cs="Arial"/>
                <w:sz w:val="16"/>
                <w:szCs w:val="16"/>
              </w:rPr>
              <w:br/>
              <w:t>Эффективный диаметр: По ГОСТ 34473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стенок: По ГОСТ 34473</w:t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стенки корпуса крана должна быть не меньше толщины стенки патрубков.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шпинделя: Сталь коррозионностойкая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Уплотнение по горловине/шпинделю: Не менее 2 колец: один из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фторсиликона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второй из EPDM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Конструкция горловины: Ограничитель хода должен быть выполнен за одно целое с горловиной крана, как отдельный элемент конструкции не допускается</w:t>
            </w:r>
            <w:r>
              <w:rPr>
                <w:rFonts w:ascii="Arial" w:hAnsi="Arial" w:cs="Arial"/>
                <w:sz w:val="16"/>
                <w:szCs w:val="16"/>
              </w:rPr>
              <w:br/>
              <w:t>Безопасность управления: Рукоятка крана должна иметь изоляционный наконечник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каждой рукоятке крана или на изоляционном наконечнике должно быть нанесено направление движения запорного органа «О-З» («Открыто-закрыто) на русском языке нестираемым способом.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торец шпинделя должна быть нанесена маркировка, соответствующая положению проходной части шара (ГОСТ 34473)</w:t>
            </w:r>
            <w:r>
              <w:rPr>
                <w:rFonts w:ascii="Arial" w:hAnsi="Arial" w:cs="Arial"/>
                <w:sz w:val="16"/>
                <w:szCs w:val="16"/>
              </w:rPr>
              <w:br/>
              <w:t>Расположение рукоятки проходного крана должно соответствовать направлению проходного отверстия шаровой пробки: параллельно оси трубопровода в положении «Открыто» и перпендикулярно оси трубопровода в положении «Закрыто». Другие варианты установки рукоятки не допускаются.</w:t>
            </w:r>
            <w:r>
              <w:rPr>
                <w:rFonts w:ascii="Arial" w:hAnsi="Arial" w:cs="Arial"/>
                <w:sz w:val="16"/>
                <w:szCs w:val="16"/>
              </w:rPr>
              <w:br/>
              <w:t>Тип уплотнения затвора: Металл – полимер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шара: Сталь коррозионностойкая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Конструкция шара: В соответствии с ГОСТ 34473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Материал седла: Фторопласт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коксонаполненный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(Ф4К20)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Конструкция седла: Уплотнение по затвору крана должно предусматривать компенсацию изменения линейных размеров деталей шарового крана под воздействием температуры рабочей и окружающей среды и обеспечивать стабильное прижатие уплотнителей во всем диапазоне рабочих температур и давлений, а также, быть защищено от потери жесткости в условиях агрессивного воздействия рабочей среды в течение всего срока эксплуатации. ГОСТ 34473</w:t>
            </w:r>
            <w:r>
              <w:rPr>
                <w:rFonts w:ascii="Arial" w:hAnsi="Arial" w:cs="Arial"/>
                <w:sz w:val="16"/>
                <w:szCs w:val="16"/>
              </w:rPr>
              <w:br/>
              <w:t>Система подпружинивания седла (пружины) с целью повышения срока службы должна быть выполнена из коррозионностойкой стали.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Усилие, создаваемое пружиной, должно передаваться на седло посредством L-образного опорного кольца.</w:t>
            </w:r>
            <w:r>
              <w:rPr>
                <w:rFonts w:ascii="Arial" w:hAnsi="Arial" w:cs="Arial"/>
                <w:sz w:val="16"/>
                <w:szCs w:val="16"/>
              </w:rPr>
              <w:br/>
              <w:t>Опорное кольцо, в целях увеличения срока службы крана, должно быть выполнено из нержавеющей стали.</w:t>
            </w:r>
            <w:r>
              <w:rPr>
                <w:rFonts w:ascii="Arial" w:hAnsi="Arial" w:cs="Arial"/>
                <w:sz w:val="16"/>
                <w:szCs w:val="16"/>
              </w:rPr>
              <w:br/>
              <w:t>С целью повышения надежности, седла должны иметь торцевое уплотнение в виде кольца круглого сечения из эластомера.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Маркировка и окраска: На краны должно быть нанесено антикоррозионное покрытие в соответствии с требованиями СП 124.13330.2012 «Тепловые сети. Актуализированная редакция СНиП 41-02-2003» и РД 153-34.0-20.518-2003 «Типовая инструкция по защите трубопроводов тепловых сетей от наружной коррозии». Подтверждением является приложение сертификатов на покрытие. </w:t>
            </w:r>
            <w:r>
              <w:rPr>
                <w:rFonts w:ascii="Arial" w:hAnsi="Arial" w:cs="Arial"/>
                <w:sz w:val="16"/>
                <w:szCs w:val="16"/>
              </w:rPr>
              <w:br/>
              <w:t>Концы патрубков под приварку должны быть неокрашенными не менее 20 мм от торца патрубка. ГОСТ 34473</w:t>
            </w:r>
            <w:r>
              <w:rPr>
                <w:rFonts w:ascii="Arial" w:hAnsi="Arial" w:cs="Arial"/>
                <w:sz w:val="16"/>
                <w:szCs w:val="16"/>
              </w:rPr>
              <w:br/>
              <w:t>На корпусе или на одной из несъемных в процессе эксплуатации деталей должна быть отчетливо видна маркировка. Маркировка наносится способом, обеспечивающим четкое и ясное ее изображение в течение всего срока службы.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Маркировка должна соответствовать требованиям ГОСТ 4666-2015 «Арматура трубопроводная. Маркировка и отличительная окраска».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Упаковка: Каждый кран должен иметь индивидуальную упаковку. </w:t>
            </w:r>
            <w:r>
              <w:rPr>
                <w:rFonts w:ascii="Arial" w:hAnsi="Arial" w:cs="Arial"/>
                <w:sz w:val="16"/>
                <w:szCs w:val="16"/>
              </w:rPr>
              <w:br/>
              <w:t>Поставляемая продукция должна имеет следующие сертификаты и разрешения:</w:t>
            </w:r>
            <w:r>
              <w:rPr>
                <w:rFonts w:ascii="Arial" w:hAnsi="Arial" w:cs="Arial"/>
                <w:sz w:val="16"/>
                <w:szCs w:val="16"/>
              </w:rPr>
              <w:br/>
              <w:t>- Декларация о соответствии ТР ТС 010/2011 «О безопасности машин и оборудования» по схеме 5Д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на тип продукции ТР ТС 010/2011 «О безопасности машин и оборудования» по схеме 5Д</w:t>
            </w:r>
            <w:r>
              <w:rPr>
                <w:rFonts w:ascii="Arial" w:hAnsi="Arial" w:cs="Arial"/>
                <w:sz w:val="16"/>
                <w:szCs w:val="16"/>
              </w:rPr>
              <w:br/>
              <w:t>- Декларация о соответствии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ISO 9001-2015 «Системы менеджмента качества. Требования»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ФНИП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15150-69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34473-2018</w:t>
            </w:r>
            <w:r>
              <w:rPr>
                <w:rFonts w:ascii="Arial" w:hAnsi="Arial" w:cs="Arial"/>
                <w:sz w:val="16"/>
                <w:szCs w:val="16"/>
              </w:rPr>
              <w:br/>
              <w:t>- Сертификат соответствия требованиям ГОСТ 30546,1-98; ГОСТ 30546.2-98; ГОСТ 30546.3-98 (Исполнение сейсмостойкости 9 баллов по шкале MSK-64)</w:t>
            </w:r>
            <w:r>
              <w:rPr>
                <w:rFonts w:ascii="Arial" w:hAnsi="Arial" w:cs="Arial"/>
                <w:sz w:val="16"/>
                <w:szCs w:val="16"/>
              </w:rPr>
              <w:br/>
              <w:t>- Экспертное заключение по результатам санитарно-эпидемиологической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>
              <w:rPr>
                <w:rFonts w:ascii="Arial" w:hAnsi="Arial" w:cs="Arial"/>
                <w:sz w:val="16"/>
                <w:szCs w:val="16"/>
              </w:rPr>
              <w:br/>
              <w:t>Требуется продукция отечественного производства.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3 667,24</w:t>
            </w:r>
          </w:p>
        </w:tc>
      </w:tr>
      <w:tr w:rsidR="000945DA" w:rsidTr="000945DA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Сгон в сборе с муфтой и контргайкой, ДУ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проводимой среды не выше 175 ºС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давление проводимой среды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≤ 1,6 МПа.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сгона, резьбы- труба ВГП ГОСТ 3262-75.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материал муфты, контргайки - сталь или ковкий чугун</w:t>
            </w:r>
            <w:r>
              <w:rPr>
                <w:rFonts w:ascii="Arial" w:hAnsi="Arial" w:cs="Arial"/>
                <w:sz w:val="16"/>
                <w:szCs w:val="16"/>
              </w:rPr>
              <w:br/>
              <w:t>Условный проход, мм 15</w:t>
            </w:r>
            <w:r>
              <w:rPr>
                <w:rFonts w:ascii="Arial" w:hAnsi="Arial" w:cs="Arial"/>
                <w:sz w:val="16"/>
                <w:szCs w:val="16"/>
              </w:rPr>
              <w:br/>
              <w:t>d резьбы " 1/2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сгона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мм 110+5</w:t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резьбы l , мм 10,5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Длина резьбы l1, мм 40+5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Длина муфты, мм 28...34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Толщина контргайки, мм не менее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45DA" w:rsidRDefault="00094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243,96</w:t>
            </w:r>
          </w:p>
        </w:tc>
      </w:tr>
    </w:tbl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5384">
      <w:rPr>
        <w:rStyle w:val="a8"/>
        <w:noProof/>
      </w:rPr>
      <w:t>11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45DA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384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1ADB-E722-4E64-8EFC-3FC79338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5214</Words>
  <Characters>34385</Characters>
  <Application>Microsoft Office Word</Application>
  <DocSecurity>0</DocSecurity>
  <Lines>286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Игорь Юрьевич</cp:lastModifiedBy>
  <cp:revision>77</cp:revision>
  <cp:lastPrinted>2018-07-11T11:54:00Z</cp:lastPrinted>
  <dcterms:created xsi:type="dcterms:W3CDTF">2023-03-16T08:16:00Z</dcterms:created>
  <dcterms:modified xsi:type="dcterms:W3CDTF">2025-02-21T04:26:00Z</dcterms:modified>
</cp:coreProperties>
</file>