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7370" w14:textId="77777777" w:rsidR="00861019" w:rsidRDefault="00861019">
      <w:pPr>
        <w:rPr>
          <w:sz w:val="22"/>
          <w:szCs w:val="22"/>
          <w:lang w:val="en-US"/>
        </w:rPr>
      </w:pPr>
      <w:bookmarkStart w:id="0" w:name="и"/>
      <w:bookmarkStart w:id="1" w:name="к"/>
      <w:bookmarkEnd w:id="0"/>
      <w:bookmarkEnd w:id="1"/>
    </w:p>
    <w:p w14:paraId="41516422" w14:textId="77777777" w:rsidR="00861019" w:rsidRDefault="00137E50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ОПИСАНИЕ ОБЪЕКТА ЗАКУПКИ</w:t>
      </w:r>
    </w:p>
    <w:p w14:paraId="6A7B3B06" w14:textId="77777777" w:rsidR="00861019" w:rsidRDefault="00861019">
      <w:pPr>
        <w:jc w:val="both"/>
        <w:rPr>
          <w:b/>
          <w:bCs/>
          <w:sz w:val="22"/>
          <w:szCs w:val="22"/>
        </w:rPr>
      </w:pPr>
    </w:p>
    <w:p w14:paraId="14944ABF" w14:textId="77777777" w:rsidR="00861019" w:rsidRDefault="00137E50">
      <w:pPr>
        <w:numPr>
          <w:ilvl w:val="0"/>
          <w:numId w:val="4"/>
        </w:numPr>
        <w:spacing w:line="276" w:lineRule="auto"/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сведения</w:t>
      </w:r>
    </w:p>
    <w:p w14:paraId="180434A4" w14:textId="77777777" w:rsidR="00861019" w:rsidRDefault="00861019">
      <w:pPr>
        <w:spacing w:line="276" w:lineRule="auto"/>
        <w:ind w:left="340"/>
        <w:rPr>
          <w:b/>
          <w:sz w:val="22"/>
          <w:szCs w:val="22"/>
        </w:rPr>
      </w:pPr>
    </w:p>
    <w:p w14:paraId="74643458" w14:textId="77777777" w:rsidR="00861019" w:rsidRDefault="00137E50">
      <w:pPr>
        <w:pStyle w:val="aff0"/>
        <w:numPr>
          <w:ilvl w:val="1"/>
          <w:numId w:val="1"/>
        </w:numPr>
        <w:suppressAutoHyphens/>
        <w:spacing w:line="276" w:lineRule="auto"/>
        <w:ind w:left="397" w:hanging="397"/>
        <w:jc w:val="both"/>
      </w:pPr>
      <w:r>
        <w:rPr>
          <w:bCs/>
          <w:sz w:val="22"/>
          <w:szCs w:val="22"/>
        </w:rPr>
        <w:t>Наименование о</w:t>
      </w:r>
      <w:r>
        <w:rPr>
          <w:bCs/>
          <w:color w:val="000000"/>
          <w:sz w:val="22"/>
          <w:szCs w:val="22"/>
        </w:rPr>
        <w:t>бъекта закупки: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Запчасти для </w:t>
      </w:r>
      <w:proofErr w:type="spellStart"/>
      <w:r>
        <w:rPr>
          <w:b/>
          <w:color w:val="000000"/>
          <w:sz w:val="22"/>
          <w:szCs w:val="22"/>
        </w:rPr>
        <w:t>опалочного</w:t>
      </w:r>
      <w:proofErr w:type="spellEnd"/>
      <w:r>
        <w:rPr>
          <w:b/>
          <w:color w:val="000000"/>
          <w:sz w:val="22"/>
          <w:szCs w:val="22"/>
        </w:rPr>
        <w:t xml:space="preserve"> транспортера линии убоя свиней.</w:t>
      </w:r>
    </w:p>
    <w:p w14:paraId="4338F9B9" w14:textId="77777777" w:rsidR="00861019" w:rsidRDefault="00137E50">
      <w:pPr>
        <w:pStyle w:val="aff0"/>
        <w:numPr>
          <w:ilvl w:val="1"/>
          <w:numId w:val="1"/>
        </w:numPr>
        <w:suppressAutoHyphens/>
        <w:spacing w:line="276" w:lineRule="auto"/>
        <w:ind w:left="397" w:hanging="397"/>
        <w:jc w:val="both"/>
      </w:pPr>
      <w:r>
        <w:rPr>
          <w:rFonts w:eastAsia="Calibri"/>
          <w:bCs/>
          <w:color w:val="000000"/>
          <w:sz w:val="22"/>
          <w:szCs w:val="22"/>
          <w:lang w:eastAsia="en-US"/>
        </w:rPr>
        <w:t xml:space="preserve">ОКПД 2: </w:t>
      </w:r>
      <w:bookmarkStart w:id="2" w:name="__DdeLink__2019_603151933"/>
      <w:r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28.93.32.000</w:t>
      </w:r>
      <w:bookmarkEnd w:id="2"/>
      <w:r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 xml:space="preserve"> — </w:t>
      </w:r>
      <w:hyperlink r:id="rId8">
        <w:r>
          <w:rPr>
            <w:rStyle w:val="-"/>
            <w:rFonts w:eastAsia="Calibri"/>
            <w:bCs/>
            <w:color w:val="000000"/>
            <w:sz w:val="22"/>
            <w:szCs w:val="22"/>
            <w:highlight w:val="white"/>
            <w:u w:val="none"/>
            <w:lang w:eastAsia="en-US"/>
          </w:rPr>
          <w:t>Части оборудования для производства пищевых продуктов</w:t>
        </w:r>
      </w:hyperlink>
      <w:r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</w:p>
    <w:p w14:paraId="7BD0FB74" w14:textId="77777777" w:rsidR="00861019" w:rsidRDefault="00137E50">
      <w:pPr>
        <w:pStyle w:val="aff0"/>
        <w:numPr>
          <w:ilvl w:val="1"/>
          <w:numId w:val="1"/>
        </w:numPr>
        <w:suppressAutoHyphens/>
        <w:spacing w:line="276" w:lineRule="auto"/>
        <w:ind w:left="397" w:hanging="397"/>
        <w:jc w:val="both"/>
      </w:pPr>
      <w:r>
        <w:rPr>
          <w:color w:val="000000"/>
          <w:sz w:val="22"/>
          <w:szCs w:val="22"/>
        </w:rPr>
        <w:t>Место поставки тов</w:t>
      </w:r>
      <w:r>
        <w:rPr>
          <w:sz w:val="22"/>
          <w:szCs w:val="22"/>
        </w:rPr>
        <w:t xml:space="preserve">ара: </w:t>
      </w:r>
      <w:r>
        <w:rPr>
          <w:bCs/>
          <w:sz w:val="22"/>
          <w:szCs w:val="22"/>
        </w:rPr>
        <w:t>4456592 Челябинская обл. Еманжелинский р-н, пос. Красногорский, промышленная площадка «Красногорский свинокомплекс».</w:t>
      </w:r>
    </w:p>
    <w:p w14:paraId="1B4B9BC3" w14:textId="77777777" w:rsidR="00861019" w:rsidRDefault="00137E50">
      <w:pPr>
        <w:pStyle w:val="aff0"/>
        <w:numPr>
          <w:ilvl w:val="1"/>
          <w:numId w:val="1"/>
        </w:numPr>
        <w:suppressAutoHyphens/>
        <w:spacing w:line="276" w:lineRule="auto"/>
        <w:ind w:left="397" w:hanging="397"/>
        <w:jc w:val="both"/>
      </w:pPr>
      <w:r>
        <w:rPr>
          <w:sz w:val="22"/>
          <w:szCs w:val="22"/>
        </w:rPr>
        <w:t xml:space="preserve">Срок и периодичность поставки товара: </w:t>
      </w:r>
      <w:r>
        <w:rPr>
          <w:bCs/>
          <w:sz w:val="22"/>
          <w:szCs w:val="22"/>
        </w:rPr>
        <w:t xml:space="preserve">Товар поставляется </w:t>
      </w:r>
      <w:r>
        <w:rPr>
          <w:bCs/>
          <w:sz w:val="22"/>
          <w:szCs w:val="22"/>
        </w:rPr>
        <w:t>до 20</w:t>
      </w:r>
      <w:r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двадцати</w:t>
      </w:r>
      <w:r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>недель</w:t>
      </w:r>
      <w:r>
        <w:rPr>
          <w:bCs/>
          <w:sz w:val="22"/>
          <w:szCs w:val="22"/>
        </w:rPr>
        <w:t xml:space="preserve"> с даты заключения Контракта, с возможностью досрочной поставки. Разовая поставка.</w:t>
      </w:r>
    </w:p>
    <w:p w14:paraId="3EA33CD1" w14:textId="77777777" w:rsidR="00861019" w:rsidRDefault="00861019">
      <w:pPr>
        <w:shd w:val="clear" w:color="auto" w:fill="FFFFFF"/>
        <w:jc w:val="both"/>
        <w:rPr>
          <w:b/>
          <w:bCs/>
          <w:sz w:val="22"/>
          <w:szCs w:val="22"/>
        </w:rPr>
      </w:pPr>
    </w:p>
    <w:p w14:paraId="1760E184" w14:textId="77777777" w:rsidR="00861019" w:rsidRDefault="00137E50">
      <w:pPr>
        <w:pStyle w:val="11"/>
        <w:numPr>
          <w:ilvl w:val="0"/>
          <w:numId w:val="4"/>
        </w:numPr>
        <w:spacing w:line="276" w:lineRule="auto"/>
        <w:ind w:left="0" w:hanging="340"/>
        <w:jc w:val="center"/>
        <w:rPr>
          <w:sz w:val="22"/>
          <w:szCs w:val="22"/>
        </w:rPr>
      </w:pPr>
      <w:r>
        <w:rPr>
          <w:b/>
          <w:sz w:val="22"/>
          <w:szCs w:val="22"/>
        </w:rPr>
        <w:t>Требования к качеству товара, требования к его безопасности</w:t>
      </w:r>
      <w:r>
        <w:rPr>
          <w:b/>
          <w:bCs/>
          <w:sz w:val="22"/>
          <w:szCs w:val="22"/>
        </w:rPr>
        <w:t>, прочие условия</w:t>
      </w:r>
    </w:p>
    <w:p w14:paraId="7AB83248" w14:textId="77777777" w:rsidR="00861019" w:rsidRDefault="00861019">
      <w:pPr>
        <w:contextualSpacing/>
        <w:jc w:val="both"/>
        <w:rPr>
          <w:bCs/>
          <w:sz w:val="22"/>
          <w:szCs w:val="22"/>
          <w:u w:val="single"/>
        </w:rPr>
      </w:pPr>
    </w:p>
    <w:p w14:paraId="076DF03E" w14:textId="77777777" w:rsidR="00861019" w:rsidRDefault="00137E50">
      <w:pPr>
        <w:pStyle w:val="aff0"/>
        <w:numPr>
          <w:ilvl w:val="1"/>
          <w:numId w:val="2"/>
        </w:numPr>
        <w:suppressAutoHyphens/>
        <w:spacing w:line="276" w:lineRule="auto"/>
        <w:jc w:val="both"/>
      </w:pPr>
      <w:r>
        <w:rPr>
          <w:sz w:val="22"/>
          <w:szCs w:val="22"/>
        </w:rPr>
        <w:t xml:space="preserve">Данная продукция предназначена </w:t>
      </w:r>
      <w:r>
        <w:rPr>
          <w:sz w:val="22"/>
          <w:szCs w:val="22"/>
        </w:rPr>
        <w:t xml:space="preserve">для </w:t>
      </w:r>
      <w:r>
        <w:rPr>
          <w:sz w:val="22"/>
          <w:szCs w:val="22"/>
        </w:rPr>
        <w:t xml:space="preserve">проведения планового ремонта действующей линии убоя свиней ТМ </w:t>
      </w:r>
      <w:r>
        <w:rPr>
          <w:sz w:val="22"/>
          <w:szCs w:val="22"/>
          <w:lang w:val="en-US"/>
        </w:rPr>
        <w:t>Renner</w:t>
      </w:r>
      <w:r w:rsidRPr="00137E50">
        <w:rPr>
          <w:sz w:val="22"/>
          <w:szCs w:val="22"/>
        </w:rPr>
        <w:t>.</w:t>
      </w:r>
    </w:p>
    <w:p w14:paraId="1FA62635" w14:textId="77777777" w:rsidR="00861019" w:rsidRDefault="00137E50">
      <w:pPr>
        <w:pStyle w:val="aff0"/>
        <w:numPr>
          <w:ilvl w:val="1"/>
          <w:numId w:val="2"/>
        </w:numPr>
        <w:suppressAutoHyphens/>
        <w:spacing w:line="276" w:lineRule="auto"/>
        <w:ind w:left="397" w:hanging="397"/>
        <w:jc w:val="both"/>
        <w:rPr>
          <w:b/>
          <w:sz w:val="22"/>
          <w:szCs w:val="22"/>
        </w:rPr>
      </w:pPr>
      <w:r>
        <w:rPr>
          <w:sz w:val="22"/>
          <w:szCs w:val="22"/>
        </w:rPr>
        <w:t>Качество поставляемого товара должно соответствовать требованиям стандартов, технических регламентов и иным требованиям, предъявляемым для данного вида</w:t>
      </w:r>
      <w:r>
        <w:rPr>
          <w:sz w:val="22"/>
          <w:szCs w:val="22"/>
        </w:rPr>
        <w:t xml:space="preserve"> товара. Поставщик удостоверяет качество и безопасность товара документами, оформленными в строгом соответствии с действующим законодательством Российской Федерации.</w:t>
      </w:r>
    </w:p>
    <w:p w14:paraId="4414951F" w14:textId="77777777" w:rsidR="00861019" w:rsidRDefault="00137E50">
      <w:pPr>
        <w:pStyle w:val="aff0"/>
        <w:numPr>
          <w:ilvl w:val="1"/>
          <w:numId w:val="2"/>
        </w:numPr>
        <w:suppressAutoHyphens/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Поставляемый товар должен</w:t>
      </w:r>
      <w:r>
        <w:rPr>
          <w:rStyle w:val="apple-converted-space"/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 xml:space="preserve">быть новым товаром (товаром, который не был в </w:t>
      </w:r>
      <w:r>
        <w:rPr>
          <w:sz w:val="22"/>
          <w:szCs w:val="22"/>
          <w:shd w:val="clear" w:color="auto" w:fill="FFFFFF"/>
        </w:rPr>
        <w:t>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 xml:space="preserve">Поставляемый товар должен соответствовать всем заявленным </w:t>
      </w:r>
      <w:r>
        <w:rPr>
          <w:sz w:val="22"/>
          <w:szCs w:val="22"/>
          <w:shd w:val="clear" w:color="auto" w:fill="FFFFFF"/>
        </w:rPr>
        <w:t>характеристикам</w:t>
      </w:r>
      <w:r>
        <w:rPr>
          <w:b/>
          <w:sz w:val="22"/>
          <w:szCs w:val="22"/>
          <w:shd w:val="clear" w:color="auto" w:fill="FFFFFF"/>
        </w:rPr>
        <w:t>.</w:t>
      </w:r>
    </w:p>
    <w:p w14:paraId="64A9A63E" w14:textId="77777777" w:rsidR="00861019" w:rsidRDefault="00137E50">
      <w:pPr>
        <w:pStyle w:val="aff0"/>
        <w:numPr>
          <w:ilvl w:val="1"/>
          <w:numId w:val="2"/>
        </w:numPr>
        <w:suppressAutoHyphens/>
        <w:spacing w:line="276" w:lineRule="auto"/>
        <w:ind w:left="397" w:hanging="397"/>
        <w:jc w:val="both"/>
      </w:pPr>
      <w:r>
        <w:rPr>
          <w:sz w:val="22"/>
          <w:szCs w:val="22"/>
        </w:rPr>
        <w:t>Весь поставляемый товар должен иметь соответствующую маркировку и оформление: наименование товара (тип, марка, модель), наименование и/или товарный знак производителя, наименование страны, где изготовлен товар, а также эксплуатационные док</w:t>
      </w:r>
      <w:r>
        <w:rPr>
          <w:sz w:val="22"/>
          <w:szCs w:val="22"/>
        </w:rPr>
        <w:t>ументы на бумажном носителе, выполненные на русском языке.</w:t>
      </w:r>
    </w:p>
    <w:p w14:paraId="5B5B8C83" w14:textId="77777777" w:rsidR="00861019" w:rsidRDefault="00137E50">
      <w:pPr>
        <w:pStyle w:val="aff0"/>
        <w:numPr>
          <w:ilvl w:val="1"/>
          <w:numId w:val="2"/>
        </w:numPr>
        <w:suppressAutoHyphens/>
        <w:spacing w:line="276" w:lineRule="auto"/>
        <w:ind w:left="397" w:hanging="397"/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быть упакован в соответствии с требованиями законодательства Российской Федерации для данного вида товара. При поставке тара и упаковка не должны иметь признаков повреждения, нарушения</w:t>
      </w:r>
      <w:r>
        <w:rPr>
          <w:sz w:val="22"/>
          <w:szCs w:val="22"/>
        </w:rPr>
        <w:t xml:space="preserve"> целостности. Упаковка должна обеспечивать сохранность качества и безопасность товара при перевозке всеми видами транспорта.</w:t>
      </w:r>
    </w:p>
    <w:p w14:paraId="622A5E52" w14:textId="77777777" w:rsidR="00861019" w:rsidRDefault="00861019">
      <w:pPr>
        <w:pStyle w:val="aff0"/>
        <w:suppressAutoHyphens/>
        <w:spacing w:line="276" w:lineRule="auto"/>
        <w:ind w:left="397"/>
        <w:jc w:val="both"/>
        <w:rPr>
          <w:sz w:val="22"/>
          <w:szCs w:val="22"/>
        </w:rPr>
      </w:pPr>
    </w:p>
    <w:p w14:paraId="0E715CBD" w14:textId="77777777" w:rsidR="00861019" w:rsidRDefault="00137E50">
      <w:pPr>
        <w:pStyle w:val="11"/>
        <w:numPr>
          <w:ilvl w:val="0"/>
          <w:numId w:val="4"/>
        </w:numPr>
        <w:spacing w:line="276" w:lineRule="auto"/>
        <w:ind w:left="0" w:hanging="39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</w:t>
      </w:r>
    </w:p>
    <w:p w14:paraId="2DFF762F" w14:textId="77777777" w:rsidR="00861019" w:rsidRDefault="00861019">
      <w:pPr>
        <w:jc w:val="both"/>
        <w:rPr>
          <w:sz w:val="22"/>
          <w:szCs w:val="22"/>
        </w:rPr>
      </w:pPr>
    </w:p>
    <w:p w14:paraId="3C65B367" w14:textId="77777777" w:rsidR="00861019" w:rsidRDefault="00137E50">
      <w:pPr>
        <w:numPr>
          <w:ilvl w:val="1"/>
          <w:numId w:val="3"/>
        </w:numPr>
        <w:spacing w:line="276" w:lineRule="auto"/>
        <w:ind w:left="397" w:hanging="397"/>
        <w:jc w:val="both"/>
        <w:rPr>
          <w:vanish/>
          <w:sz w:val="22"/>
          <w:szCs w:val="22"/>
        </w:rPr>
      </w:pPr>
      <w:r>
        <w:rPr>
          <w:sz w:val="22"/>
          <w:szCs w:val="22"/>
        </w:rPr>
        <w:t>Поставщик гарантирует качество и безопасность поставляемого товара.</w:t>
      </w:r>
    </w:p>
    <w:p w14:paraId="24A05774" w14:textId="77777777" w:rsidR="00861019" w:rsidRDefault="00861019">
      <w:pPr>
        <w:pStyle w:val="11"/>
        <w:spacing w:line="276" w:lineRule="auto"/>
        <w:jc w:val="both"/>
        <w:rPr>
          <w:sz w:val="22"/>
          <w:szCs w:val="22"/>
        </w:rPr>
      </w:pPr>
    </w:p>
    <w:p w14:paraId="3647B93C" w14:textId="77777777" w:rsidR="00861019" w:rsidRDefault="00137E50">
      <w:pPr>
        <w:pStyle w:val="11"/>
        <w:numPr>
          <w:ilvl w:val="1"/>
          <w:numId w:val="3"/>
        </w:numPr>
        <w:spacing w:line="276" w:lineRule="auto"/>
        <w:ind w:left="397" w:hanging="397"/>
        <w:jc w:val="both"/>
      </w:pPr>
      <w:r>
        <w:rPr>
          <w:sz w:val="22"/>
          <w:szCs w:val="22"/>
        </w:rPr>
        <w:t>Гарантийный срок на поставляемый т</w:t>
      </w:r>
      <w:r>
        <w:rPr>
          <w:sz w:val="22"/>
          <w:szCs w:val="22"/>
        </w:rPr>
        <w:t xml:space="preserve">овар устанавливается равным сроку гарантии производителя данного товара, но не менее 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шести</w:t>
      </w:r>
      <w:r>
        <w:rPr>
          <w:sz w:val="22"/>
          <w:szCs w:val="22"/>
        </w:rPr>
        <w:t>) месяцев с даты приемки товара Заказчиком. Гарантийный срок исчисляется со дня подписания сторонами документов о приемке.</w:t>
      </w:r>
    </w:p>
    <w:p w14:paraId="789A0032" w14:textId="77777777" w:rsidR="00861019" w:rsidRDefault="00137E50">
      <w:pPr>
        <w:pStyle w:val="11"/>
        <w:numPr>
          <w:ilvl w:val="1"/>
          <w:numId w:val="3"/>
        </w:numPr>
        <w:spacing w:line="276" w:lineRule="auto"/>
        <w:ind w:left="397" w:hanging="397"/>
        <w:jc w:val="both"/>
      </w:pPr>
      <w:r>
        <w:rPr>
          <w:sz w:val="22"/>
          <w:szCs w:val="22"/>
        </w:rPr>
        <w:t>В случае обнаружения Заказчиком в течени</w:t>
      </w:r>
      <w:r>
        <w:rPr>
          <w:sz w:val="22"/>
          <w:szCs w:val="22"/>
        </w:rPr>
        <w:t>е гарантийного срока недостатков в товаре Поставщик должен обеспечить его замену на эквивалентный товар надлежащего качества, либо обеспечить безвозмездное устранение недостатков товара (гарантийный ремонт). Срок безвозмездного устранения недостатков (гара</w:t>
      </w:r>
      <w:r>
        <w:rPr>
          <w:sz w:val="22"/>
          <w:szCs w:val="22"/>
        </w:rPr>
        <w:t>нтийного ремонта) либо замены товара на новый не должен превышать 90 (девяносто) рабочих дней со дня получения Поставщиком письменного требования Заказчика.</w:t>
      </w:r>
    </w:p>
    <w:p w14:paraId="4706705B" w14:textId="77777777" w:rsidR="00861019" w:rsidRDefault="00861019">
      <w:pPr>
        <w:rPr>
          <w:sz w:val="22"/>
          <w:szCs w:val="22"/>
        </w:rPr>
      </w:pPr>
    </w:p>
    <w:p w14:paraId="5D112601" w14:textId="77777777" w:rsidR="00861019" w:rsidRDefault="00137E50">
      <w:pPr>
        <w:numPr>
          <w:ilvl w:val="0"/>
          <w:numId w:val="4"/>
        </w:numPr>
        <w:spacing w:line="276" w:lineRule="auto"/>
        <w:ind w:left="397" w:hanging="397"/>
        <w:contextualSpacing/>
        <w:jc w:val="center"/>
        <w:rPr>
          <w:b/>
          <w:sz w:val="22"/>
          <w:szCs w:val="22"/>
          <w:lang w:val="x-none"/>
        </w:rPr>
      </w:pPr>
      <w:r>
        <w:rPr>
          <w:b/>
          <w:sz w:val="22"/>
          <w:szCs w:val="22"/>
        </w:rPr>
        <w:t>Перечень товаров по заявке</w:t>
      </w:r>
    </w:p>
    <w:p w14:paraId="75EBD11F" w14:textId="77777777" w:rsidR="00861019" w:rsidRDefault="00137E50">
      <w:pPr>
        <w:ind w:firstLine="567"/>
        <w:contextualSpacing/>
        <w:rPr>
          <w:b/>
          <w:sz w:val="22"/>
          <w:szCs w:val="22"/>
        </w:rPr>
      </w:pPr>
      <w:r>
        <w:br w:type="page"/>
      </w:r>
    </w:p>
    <w:tbl>
      <w:tblPr>
        <w:tblW w:w="998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83"/>
        <w:gridCol w:w="1600"/>
      </w:tblGrid>
      <w:tr w:rsidR="00861019" w14:paraId="425FFA78" w14:textId="77777777">
        <w:tc>
          <w:tcPr>
            <w:tcW w:w="8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C28D84" w14:textId="77777777" w:rsidR="00861019" w:rsidRDefault="00137E50">
            <w:pPr>
              <w:pStyle w:val="affa"/>
              <w:pageBreakBefore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BF984" w14:textId="77777777" w:rsidR="00861019" w:rsidRDefault="00137E50">
            <w:pPr>
              <w:pStyle w:val="aff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ОКПД2</w:t>
            </w:r>
          </w:p>
        </w:tc>
      </w:tr>
      <w:tr w:rsidR="00861019" w14:paraId="227ED8FF" w14:textId="77777777">
        <w:tc>
          <w:tcPr>
            <w:tcW w:w="8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18AC4D" w14:textId="77777777" w:rsidR="00861019" w:rsidRDefault="00137E50">
            <w:pPr>
              <w:pStyle w:val="af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Цепь для транспортера через </w:t>
            </w:r>
            <w:proofErr w:type="spellStart"/>
            <w:r>
              <w:rPr>
                <w:sz w:val="22"/>
                <w:szCs w:val="22"/>
              </w:rPr>
              <w:t>опалочную</w:t>
            </w:r>
            <w:proofErr w:type="spellEnd"/>
            <w:r>
              <w:rPr>
                <w:sz w:val="22"/>
                <w:szCs w:val="22"/>
              </w:rPr>
              <w:t xml:space="preserve"> печь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6F698" w14:textId="77777777" w:rsidR="00861019" w:rsidRDefault="00137E50">
            <w:pPr>
              <w:pStyle w:val="aff0"/>
              <w:suppressAutoHyphens/>
              <w:spacing w:line="276" w:lineRule="auto"/>
              <w:ind w:left="397" w:hanging="397"/>
              <w:jc w:val="both"/>
            </w:pP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28.93.32.000</w:t>
            </w:r>
          </w:p>
        </w:tc>
      </w:tr>
      <w:tr w:rsidR="00861019" w14:paraId="1BD9C7F7" w14:textId="77777777">
        <w:tc>
          <w:tcPr>
            <w:tcW w:w="8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5775D1" w14:textId="77777777" w:rsidR="00861019" w:rsidRDefault="00137E50">
            <w:pPr>
              <w:pStyle w:val="affa"/>
              <w:rPr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Буферная пружина d=35 D=95 L=130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FC231" w14:textId="77777777" w:rsidR="00861019" w:rsidRDefault="00137E50">
            <w:pPr>
              <w:pStyle w:val="aff0"/>
              <w:suppressAutoHyphens/>
              <w:spacing w:line="276" w:lineRule="auto"/>
              <w:ind w:left="397" w:hanging="397"/>
              <w:jc w:val="both"/>
            </w:pP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28.93.32.000</w:t>
            </w:r>
          </w:p>
        </w:tc>
      </w:tr>
      <w:tr w:rsidR="00861019" w14:paraId="64A68C56" w14:textId="77777777">
        <w:tc>
          <w:tcPr>
            <w:tcW w:w="8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D91371" w14:textId="77777777" w:rsidR="00861019" w:rsidRDefault="00137E50">
            <w:pPr>
              <w:pStyle w:val="affa"/>
              <w:rPr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Мотор-редуктор KF87 R57 DRS80S4BE1/TF 1400/4.8 0.75 кВт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B9F2D" w14:textId="77777777" w:rsidR="00861019" w:rsidRDefault="00137E50">
            <w:pPr>
              <w:pStyle w:val="aff0"/>
              <w:suppressAutoHyphens/>
              <w:spacing w:line="276" w:lineRule="auto"/>
              <w:ind w:left="397" w:hanging="397"/>
              <w:jc w:val="both"/>
            </w:pP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28.93.32.000</w:t>
            </w:r>
          </w:p>
        </w:tc>
      </w:tr>
      <w:tr w:rsidR="00861019" w14:paraId="6DA1EA6F" w14:textId="77777777">
        <w:tc>
          <w:tcPr>
            <w:tcW w:w="8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62BD58" w14:textId="77777777" w:rsidR="00861019" w:rsidRDefault="00137E50">
            <w:pPr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 xml:space="preserve">Ведущая звездочка диам.218/1 Z=8 - для конвейеров и </w:t>
            </w:r>
            <w:proofErr w:type="spellStart"/>
            <w:r>
              <w:rPr>
                <w:color w:val="1A1A1A"/>
                <w:sz w:val="22"/>
                <w:szCs w:val="22"/>
              </w:rPr>
              <w:t>подъмников</w:t>
            </w:r>
            <w:proofErr w:type="spellEnd"/>
            <w:r>
              <w:rPr>
                <w:color w:val="1A1A1A"/>
                <w:sz w:val="22"/>
                <w:szCs w:val="22"/>
              </w:rPr>
              <w:t xml:space="preserve"> 144-</w:t>
            </w:r>
          </w:p>
          <w:p w14:paraId="3B06CDB5" w14:textId="77777777" w:rsidR="00861019" w:rsidRDefault="00137E50">
            <w:pPr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 xml:space="preserve">Диаметр 60F7- Ступица симметрическая =110- Паз </w:t>
            </w:r>
            <w:r>
              <w:rPr>
                <w:color w:val="1A1A1A"/>
                <w:sz w:val="22"/>
                <w:szCs w:val="22"/>
              </w:rPr>
              <w:t>пружины 18x11- оцинкованный</w:t>
            </w:r>
          </w:p>
          <w:p w14:paraId="0F0E7272" w14:textId="77777777" w:rsidR="00861019" w:rsidRDefault="00861019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94326" w14:textId="77777777" w:rsidR="00861019" w:rsidRDefault="00137E50">
            <w:pPr>
              <w:pStyle w:val="aff0"/>
              <w:suppressAutoHyphens/>
              <w:spacing w:line="276" w:lineRule="auto"/>
              <w:ind w:left="397" w:hanging="397"/>
              <w:jc w:val="both"/>
            </w:pP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28.93.32.000</w:t>
            </w:r>
          </w:p>
        </w:tc>
      </w:tr>
      <w:tr w:rsidR="00861019" w14:paraId="70B5EC6E" w14:textId="77777777">
        <w:tc>
          <w:tcPr>
            <w:tcW w:w="8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AB9829" w14:textId="77777777" w:rsidR="00861019" w:rsidRDefault="00137E50">
            <w:pPr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Поворотное колесо дм189, диаметр отверстия 40,5 мм, пластик</w:t>
            </w:r>
          </w:p>
          <w:p w14:paraId="0CF95635" w14:textId="77777777" w:rsidR="00861019" w:rsidRDefault="00861019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6CE5BA" w14:textId="77777777" w:rsidR="00861019" w:rsidRDefault="00137E50">
            <w:pPr>
              <w:pStyle w:val="aff0"/>
              <w:suppressAutoHyphens/>
              <w:spacing w:line="276" w:lineRule="auto"/>
              <w:ind w:left="397" w:hanging="397"/>
              <w:jc w:val="both"/>
            </w:pP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28.93.32.000</w:t>
            </w:r>
          </w:p>
        </w:tc>
      </w:tr>
      <w:tr w:rsidR="00861019" w14:paraId="51060E46" w14:textId="77777777">
        <w:tc>
          <w:tcPr>
            <w:tcW w:w="8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3C2C54" w14:textId="77777777" w:rsidR="00861019" w:rsidRDefault="00137E50">
            <w:pPr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Ось для поворотной станции погрузочные лифты; -вертикальный конвейер</w:t>
            </w:r>
          </w:p>
          <w:p w14:paraId="357D4970" w14:textId="77777777" w:rsidR="00861019" w:rsidRDefault="00861019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72D00" w14:textId="77777777" w:rsidR="00861019" w:rsidRDefault="00137E50">
            <w:pPr>
              <w:pStyle w:val="aff0"/>
              <w:suppressAutoHyphens/>
              <w:spacing w:line="276" w:lineRule="auto"/>
              <w:ind w:left="397" w:hanging="397"/>
              <w:jc w:val="both"/>
            </w:pP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28.93.32.000</w:t>
            </w:r>
          </w:p>
        </w:tc>
      </w:tr>
      <w:tr w:rsidR="00861019" w14:paraId="10A0A51B" w14:textId="77777777">
        <w:tc>
          <w:tcPr>
            <w:tcW w:w="8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5E72E3" w14:textId="77777777" w:rsidR="00861019" w:rsidRDefault="00137E50">
            <w:pPr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 xml:space="preserve">Трубчатый подвесной путь от машинного </w:t>
            </w:r>
            <w:r>
              <w:rPr>
                <w:color w:val="1A1A1A"/>
                <w:sz w:val="22"/>
                <w:szCs w:val="22"/>
              </w:rPr>
              <w:t>конвейера к конвейеру разделки</w:t>
            </w:r>
          </w:p>
          <w:p w14:paraId="726A5809" w14:textId="77777777" w:rsidR="00861019" w:rsidRDefault="00861019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C04EEC" w14:textId="77777777" w:rsidR="00861019" w:rsidRDefault="00137E50">
            <w:pPr>
              <w:pStyle w:val="aff0"/>
              <w:suppressAutoHyphens/>
              <w:spacing w:line="276" w:lineRule="auto"/>
              <w:ind w:left="397" w:hanging="397"/>
              <w:jc w:val="both"/>
            </w:pP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28.93.32.000</w:t>
            </w:r>
          </w:p>
        </w:tc>
      </w:tr>
      <w:tr w:rsidR="00861019" w14:paraId="34D282C7" w14:textId="77777777">
        <w:trPr>
          <w:trHeight w:val="640"/>
        </w:trPr>
        <w:tc>
          <w:tcPr>
            <w:tcW w:w="8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EAA98A" w14:textId="77777777" w:rsidR="00861019" w:rsidRDefault="00137E50">
            <w:pPr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Кронштейн направляющей для трубы 2", -S235JR, черный горячее цинкование Ø50 х 6</w:t>
            </w:r>
          </w:p>
          <w:p w14:paraId="2E76FDD5" w14:textId="77777777" w:rsidR="00861019" w:rsidRDefault="00861019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F4A108" w14:textId="77777777" w:rsidR="00861019" w:rsidRDefault="00137E50">
            <w:pPr>
              <w:pStyle w:val="aff0"/>
              <w:suppressAutoHyphens/>
              <w:spacing w:line="276" w:lineRule="auto"/>
              <w:ind w:left="397" w:hanging="397"/>
              <w:jc w:val="both"/>
            </w:pP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28.93.32.000</w:t>
            </w:r>
          </w:p>
        </w:tc>
      </w:tr>
    </w:tbl>
    <w:p w14:paraId="0AEFE217" w14:textId="77777777" w:rsidR="00861019" w:rsidRDefault="00861019">
      <w:pPr>
        <w:rPr>
          <w:sz w:val="22"/>
          <w:szCs w:val="22"/>
        </w:rPr>
      </w:pPr>
    </w:p>
    <w:p w14:paraId="2FC13F02" w14:textId="77777777" w:rsidR="00861019" w:rsidRDefault="00861019">
      <w:pPr>
        <w:rPr>
          <w:sz w:val="22"/>
          <w:szCs w:val="22"/>
        </w:rPr>
      </w:pPr>
    </w:p>
    <w:p w14:paraId="239B017A" w14:textId="77777777" w:rsidR="00861019" w:rsidRDefault="00861019">
      <w:pPr>
        <w:rPr>
          <w:sz w:val="22"/>
          <w:szCs w:val="22"/>
        </w:rPr>
      </w:pPr>
    </w:p>
    <w:p w14:paraId="0C945F51" w14:textId="77777777" w:rsidR="00861019" w:rsidRDefault="00861019">
      <w:pPr>
        <w:rPr>
          <w:sz w:val="22"/>
          <w:szCs w:val="22"/>
        </w:rPr>
      </w:pPr>
    </w:p>
    <w:p w14:paraId="33197088" w14:textId="77777777" w:rsidR="00861019" w:rsidRDefault="00861019">
      <w:pPr>
        <w:rPr>
          <w:sz w:val="22"/>
          <w:szCs w:val="22"/>
        </w:rPr>
      </w:pPr>
    </w:p>
    <w:p w14:paraId="71FEDD88" w14:textId="77777777" w:rsidR="00861019" w:rsidRDefault="00861019"/>
    <w:sectPr w:rsidR="00861019">
      <w:footerReference w:type="default" r:id="rId9"/>
      <w:pgSz w:w="11906" w:h="16838"/>
      <w:pgMar w:top="567" w:right="1361" w:bottom="567" w:left="567" w:header="0" w:footer="45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3E65" w14:textId="77777777" w:rsidR="00000000" w:rsidRDefault="00137E50">
      <w:r>
        <w:separator/>
      </w:r>
    </w:p>
  </w:endnote>
  <w:endnote w:type="continuationSeparator" w:id="0">
    <w:p w14:paraId="3BBC30F5" w14:textId="77777777" w:rsidR="00000000" w:rsidRDefault="0013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NarrowC">
    <w:altName w:val="Cambria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A22B" w14:textId="77777777" w:rsidR="00861019" w:rsidRDefault="00137E50">
    <w:pPr>
      <w:pStyle w:val="af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7868A2C3" wp14:editId="613900C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13130" cy="14605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6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DEFE4C" w14:textId="77777777" w:rsidR="00861019" w:rsidRDefault="00137E50">
                          <w:pPr>
                            <w:pStyle w:val="afe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868A2C3" id="Врезка1" o:spid="_x0000_s1026" style="position:absolute;margin-left:20.7pt;margin-top:.05pt;width:71.9pt;height:11.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" filled="f" stroked="f">
              <v:textbox style="mso-fit-shape-to-text:t" inset="0,0,0,0">
                <w:txbxContent>
                  <w:p w14:paraId="62DEFE4C" w14:textId="77777777" w:rsidR="00861019" w:rsidRDefault="00137E50">
                    <w:pPr>
                      <w:pStyle w:val="afe"/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9939" w14:textId="77777777" w:rsidR="00000000" w:rsidRDefault="00137E50">
      <w:r>
        <w:separator/>
      </w:r>
    </w:p>
  </w:footnote>
  <w:footnote w:type="continuationSeparator" w:id="0">
    <w:p w14:paraId="35539699" w14:textId="77777777" w:rsidR="00000000" w:rsidRDefault="00137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390A"/>
    <w:multiLevelType w:val="multilevel"/>
    <w:tmpl w:val="CAE07C2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92" w:hanging="144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8136" w:hanging="1800"/>
      </w:pPr>
    </w:lvl>
  </w:abstractNum>
  <w:abstractNum w:abstractNumId="1" w15:restartNumberingAfterBreak="0">
    <w:nsid w:val="5BC43E76"/>
    <w:multiLevelType w:val="multilevel"/>
    <w:tmpl w:val="F942EAAC"/>
    <w:lvl w:ilvl="0">
      <w:start w:val="2"/>
      <w:numFmt w:val="decimal"/>
      <w:lvlText w:val="%1."/>
      <w:lvlJc w:val="left"/>
      <w:pPr>
        <w:ind w:left="360" w:hanging="360"/>
      </w:pPr>
      <w:rPr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u w:val="single"/>
      </w:rPr>
    </w:lvl>
  </w:abstractNum>
  <w:abstractNum w:abstractNumId="2" w15:restartNumberingAfterBreak="0">
    <w:nsid w:val="65BD596F"/>
    <w:multiLevelType w:val="multilevel"/>
    <w:tmpl w:val="94866BAA"/>
    <w:lvl w:ilvl="0">
      <w:start w:val="1"/>
      <w:numFmt w:val="upperRoman"/>
      <w:lvlText w:val="%1."/>
      <w:lvlJc w:val="left"/>
      <w:pPr>
        <w:ind w:left="11352" w:hanging="72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  <w:lang w:val="ru-RU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7F913CB"/>
    <w:multiLevelType w:val="multilevel"/>
    <w:tmpl w:val="24E84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A920F70"/>
    <w:multiLevelType w:val="multilevel"/>
    <w:tmpl w:val="C5CCC3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19"/>
    <w:rsid w:val="00137E50"/>
    <w:rsid w:val="0086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BC64"/>
  <w15:docId w15:val="{B5BDB97D-5888-4D68-B4D8-ADBF4C99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115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2115"/>
    <w:pPr>
      <w:keepNext/>
      <w:jc w:val="right"/>
      <w:outlineLvl w:val="0"/>
    </w:pPr>
    <w:rPr>
      <w:sz w:val="24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C2115"/>
    <w:pPr>
      <w:keepNext/>
      <w:widowControl w:val="0"/>
      <w:outlineLvl w:val="2"/>
    </w:pPr>
    <w:rPr>
      <w:b/>
      <w:bCs/>
      <w:sz w:val="24"/>
      <w:szCs w:val="24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C21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EC21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qFormat/>
    <w:rsid w:val="00EC21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EC21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EC2115"/>
  </w:style>
  <w:style w:type="character" w:customStyle="1" w:styleId="ConsNormal">
    <w:name w:val="ConsNormal Знак"/>
    <w:basedOn w:val="a0"/>
    <w:uiPriority w:val="99"/>
    <w:qFormat/>
    <w:rsid w:val="00EC211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qFormat/>
    <w:rsid w:val="00EC21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uiPriority w:val="99"/>
    <w:qFormat/>
    <w:rsid w:val="00EC21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EC2115"/>
    <w:rPr>
      <w:color w:val="0000FF"/>
      <w:u w:val="single"/>
    </w:rPr>
  </w:style>
  <w:style w:type="character" w:customStyle="1" w:styleId="a7">
    <w:name w:val="Нижний колонтитул Знак"/>
    <w:basedOn w:val="a0"/>
    <w:uiPriority w:val="99"/>
    <w:qFormat/>
    <w:rsid w:val="00EC21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qFormat/>
    <w:rsid w:val="0013645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uiPriority w:val="1"/>
    <w:qFormat/>
    <w:locked/>
    <w:rsid w:val="004546EE"/>
    <w:rPr>
      <w:rFonts w:ascii="Calibri" w:eastAsia="Calibri" w:hAnsi="Calibri" w:cs="Times New Roman"/>
    </w:rPr>
  </w:style>
  <w:style w:type="character" w:customStyle="1" w:styleId="a9">
    <w:name w:val="Абзац списка Знак"/>
    <w:uiPriority w:val="34"/>
    <w:qFormat/>
    <w:locked/>
    <w:rsid w:val="00454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qFormat/>
    <w:rsid w:val="007F4398"/>
    <w:rPr>
      <w:color w:val="800080" w:themeColor="followedHyperlink"/>
      <w:u w:val="single"/>
    </w:rPr>
  </w:style>
  <w:style w:type="character" w:customStyle="1" w:styleId="ab">
    <w:name w:val="Текст выноски Знак"/>
    <w:basedOn w:val="a0"/>
    <w:uiPriority w:val="99"/>
    <w:semiHidden/>
    <w:qFormat/>
    <w:rsid w:val="009570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сноски Знак"/>
    <w:basedOn w:val="a0"/>
    <w:uiPriority w:val="99"/>
    <w:semiHidden/>
    <w:qFormat/>
    <w:rsid w:val="0013645C"/>
    <w:rPr>
      <w:rFonts w:ascii="Calibri" w:eastAsia="Calibri" w:hAnsi="Calibri" w:cs="Times New Roman"/>
      <w:sz w:val="20"/>
      <w:szCs w:val="20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3645C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qFormat/>
    <w:rsid w:val="00475F73"/>
    <w:rPr>
      <w:sz w:val="16"/>
      <w:szCs w:val="16"/>
    </w:rPr>
  </w:style>
  <w:style w:type="character" w:customStyle="1" w:styleId="af">
    <w:name w:val="Текст примечания Знак"/>
    <w:basedOn w:val="a0"/>
    <w:uiPriority w:val="99"/>
    <w:qFormat/>
    <w:rsid w:val="00475F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uiPriority w:val="99"/>
    <w:semiHidden/>
    <w:qFormat/>
    <w:rsid w:val="00475F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34"/>
    <w:qFormat/>
    <w:locked/>
    <w:rsid w:val="004546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Emphasis"/>
    <w:uiPriority w:val="20"/>
    <w:qFormat/>
    <w:rsid w:val="005C565D"/>
    <w:rPr>
      <w:i/>
      <w:iCs/>
    </w:rPr>
  </w:style>
  <w:style w:type="character" w:customStyle="1" w:styleId="apple-converted-space">
    <w:name w:val="apple-converted-space"/>
    <w:basedOn w:val="a0"/>
    <w:qFormat/>
    <w:rsid w:val="004546EE"/>
  </w:style>
  <w:style w:type="character" w:customStyle="1" w:styleId="af2">
    <w:name w:val="Цветовое выделение"/>
    <w:uiPriority w:val="99"/>
    <w:qFormat/>
    <w:rsid w:val="004546EE"/>
    <w:rPr>
      <w:b/>
      <w:color w:val="000080"/>
    </w:rPr>
  </w:style>
  <w:style w:type="character" w:customStyle="1" w:styleId="af3">
    <w:name w:val="Гипертекстовая ссылка"/>
    <w:basedOn w:val="af2"/>
    <w:uiPriority w:val="99"/>
    <w:qFormat/>
    <w:rsid w:val="004546EE"/>
    <w:rPr>
      <w:rFonts w:cs="Times New Roman"/>
      <w:b w:val="0"/>
      <w:color w:val="008000"/>
    </w:rPr>
  </w:style>
  <w:style w:type="character" w:customStyle="1" w:styleId="af4">
    <w:name w:val="Продолжение ссылки"/>
    <w:uiPriority w:val="99"/>
    <w:qFormat/>
    <w:rsid w:val="004546EE"/>
  </w:style>
  <w:style w:type="character" w:customStyle="1" w:styleId="af5">
    <w:name w:val="Текст концевой сноски Знак"/>
    <w:basedOn w:val="a0"/>
    <w:uiPriority w:val="99"/>
    <w:semiHidden/>
    <w:qFormat/>
    <w:rsid w:val="00454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uiPriority w:val="99"/>
    <w:qFormat/>
    <w:rsid w:val="003001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7F6C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nformat">
    <w:name w:val="ConsNonformat Знак"/>
    <w:qFormat/>
    <w:locked/>
    <w:rsid w:val="007F6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7">
    <w:name w:val="Body Text"/>
    <w:basedOn w:val="a"/>
    <w:rsid w:val="00EC2115"/>
    <w:pPr>
      <w:widowControl w:val="0"/>
      <w:jc w:val="center"/>
    </w:pPr>
    <w:rPr>
      <w:b/>
      <w:bCs/>
      <w:sz w:val="24"/>
      <w:szCs w:val="24"/>
    </w:r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next w:val="a"/>
    <w:qFormat/>
    <w:rsid w:val="00EC2115"/>
    <w:pPr>
      <w:spacing w:before="120"/>
      <w:jc w:val="center"/>
    </w:pPr>
    <w:rPr>
      <w:sz w:val="36"/>
    </w:rPr>
  </w:style>
  <w:style w:type="paragraph" w:styleId="afa">
    <w:name w:val="index heading"/>
    <w:basedOn w:val="a"/>
    <w:qFormat/>
    <w:pPr>
      <w:suppressLineNumbers/>
    </w:pPr>
    <w:rPr>
      <w:rFonts w:cs="Arial"/>
    </w:rPr>
  </w:style>
  <w:style w:type="paragraph" w:styleId="23">
    <w:name w:val="Body Text 2"/>
    <w:basedOn w:val="a"/>
    <w:qFormat/>
    <w:rsid w:val="00EC2115"/>
    <w:pPr>
      <w:spacing w:before="60"/>
      <w:jc w:val="both"/>
    </w:pPr>
    <w:rPr>
      <w:sz w:val="24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uiPriority w:val="99"/>
    <w:rsid w:val="00EC2115"/>
    <w:pPr>
      <w:tabs>
        <w:tab w:val="center" w:pos="4677"/>
        <w:tab w:val="right" w:pos="9355"/>
      </w:tabs>
    </w:pPr>
  </w:style>
  <w:style w:type="paragraph" w:customStyle="1" w:styleId="ConsNormal0">
    <w:name w:val="ConsNormal"/>
    <w:uiPriority w:val="99"/>
    <w:qFormat/>
    <w:rsid w:val="00EC2115"/>
    <w:pPr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0">
    <w:name w:val="ConsNonformat"/>
    <w:uiPriority w:val="99"/>
    <w:qFormat/>
    <w:rsid w:val="00EC2115"/>
    <w:pPr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styleId="afd">
    <w:name w:val="Body Text Indent"/>
    <w:basedOn w:val="a"/>
    <w:uiPriority w:val="99"/>
    <w:rsid w:val="00EC2115"/>
    <w:pPr>
      <w:widowControl w:val="0"/>
      <w:ind w:firstLine="485"/>
      <w:jc w:val="both"/>
    </w:pPr>
  </w:style>
  <w:style w:type="paragraph" w:styleId="afe">
    <w:name w:val="footer"/>
    <w:basedOn w:val="a"/>
    <w:uiPriority w:val="99"/>
    <w:rsid w:val="00EC2115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EC2115"/>
    <w:rPr>
      <w:rFonts w:ascii="Arial" w:eastAsia="Times New Roman" w:hAnsi="Arial" w:cs="Arial"/>
      <w:szCs w:val="20"/>
      <w:lang w:eastAsia="ru-RU"/>
    </w:rPr>
  </w:style>
  <w:style w:type="paragraph" w:customStyle="1" w:styleId="ConsCell">
    <w:name w:val="ConsCell"/>
    <w:qFormat/>
    <w:rsid w:val="00EC2115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02statia2">
    <w:name w:val="02statia2"/>
    <w:basedOn w:val="a"/>
    <w:qFormat/>
    <w:rsid w:val="00EC2115"/>
    <w:pPr>
      <w:spacing w:before="120" w:after="24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">
    <w:name w:val="No Spacing"/>
    <w:uiPriority w:val="1"/>
    <w:qFormat/>
    <w:rsid w:val="0044032A"/>
    <w:rPr>
      <w:rFonts w:cs="Times New Roman"/>
    </w:rPr>
  </w:style>
  <w:style w:type="paragraph" w:styleId="aff0">
    <w:name w:val="List Paragraph"/>
    <w:basedOn w:val="a"/>
    <w:qFormat/>
    <w:rsid w:val="003B5805"/>
    <w:pPr>
      <w:ind w:left="720"/>
      <w:contextualSpacing/>
    </w:pPr>
  </w:style>
  <w:style w:type="paragraph" w:styleId="aff1">
    <w:name w:val="TOC Heading"/>
    <w:basedOn w:val="1"/>
    <w:next w:val="a"/>
    <w:uiPriority w:val="39"/>
    <w:semiHidden/>
    <w:unhideWhenUsed/>
    <w:qFormat/>
    <w:rsid w:val="0095704B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95704B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95704B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95704B"/>
    <w:pPr>
      <w:spacing w:after="100"/>
      <w:ind w:left="400"/>
    </w:pPr>
  </w:style>
  <w:style w:type="paragraph" w:styleId="aff2">
    <w:name w:val="Balloon Text"/>
    <w:basedOn w:val="a"/>
    <w:uiPriority w:val="99"/>
    <w:semiHidden/>
    <w:unhideWhenUsed/>
    <w:qFormat/>
    <w:rsid w:val="0095704B"/>
    <w:rPr>
      <w:rFonts w:ascii="Tahoma" w:hAnsi="Tahoma" w:cs="Tahoma"/>
      <w:sz w:val="16"/>
      <w:szCs w:val="16"/>
    </w:rPr>
  </w:style>
  <w:style w:type="paragraph" w:styleId="aff3">
    <w:name w:val="footnote text"/>
    <w:basedOn w:val="a"/>
    <w:uiPriority w:val="99"/>
    <w:semiHidden/>
    <w:unhideWhenUsed/>
    <w:rsid w:val="0013645C"/>
    <w:rPr>
      <w:rFonts w:ascii="Calibri" w:eastAsia="Calibri" w:hAnsi="Calibri"/>
      <w:lang w:eastAsia="en-US"/>
    </w:rPr>
  </w:style>
  <w:style w:type="paragraph" w:styleId="aff4">
    <w:name w:val="annotation text"/>
    <w:basedOn w:val="a"/>
    <w:uiPriority w:val="99"/>
    <w:unhideWhenUsed/>
    <w:qFormat/>
    <w:rsid w:val="00475F73"/>
  </w:style>
  <w:style w:type="paragraph" w:styleId="aff5">
    <w:name w:val="annotation subject"/>
    <w:basedOn w:val="aff4"/>
    <w:next w:val="aff4"/>
    <w:uiPriority w:val="99"/>
    <w:semiHidden/>
    <w:unhideWhenUsed/>
    <w:qFormat/>
    <w:rsid w:val="00475F73"/>
    <w:rPr>
      <w:b/>
      <w:bCs/>
    </w:rPr>
  </w:style>
  <w:style w:type="paragraph" w:customStyle="1" w:styleId="11">
    <w:name w:val="Абзац списка1"/>
    <w:basedOn w:val="a"/>
    <w:link w:val="ListParagraphChar"/>
    <w:qFormat/>
    <w:rsid w:val="005A0BFB"/>
    <w:pPr>
      <w:suppressAutoHyphens/>
      <w:spacing w:line="100" w:lineRule="atLeast"/>
      <w:ind w:left="720"/>
    </w:pPr>
    <w:rPr>
      <w:lang w:eastAsia="ar-SA"/>
    </w:rPr>
  </w:style>
  <w:style w:type="paragraph" w:customStyle="1" w:styleId="ConsPlusTitle">
    <w:name w:val="ConsPlusTitle"/>
    <w:qFormat/>
    <w:rsid w:val="00B83E54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f6">
    <w:name w:val="Таблицы (моноширинный)"/>
    <w:basedOn w:val="a"/>
    <w:next w:val="a"/>
    <w:uiPriority w:val="99"/>
    <w:qFormat/>
    <w:rsid w:val="004546EE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f7">
    <w:name w:val="Комментарий"/>
    <w:basedOn w:val="a"/>
    <w:next w:val="a"/>
    <w:uiPriority w:val="99"/>
    <w:qFormat/>
    <w:rsid w:val="004546E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f8">
    <w:name w:val="endnote text"/>
    <w:basedOn w:val="a"/>
    <w:uiPriority w:val="99"/>
    <w:semiHidden/>
    <w:unhideWhenUsed/>
    <w:rsid w:val="004546EE"/>
  </w:style>
  <w:style w:type="paragraph" w:styleId="HTML0">
    <w:name w:val="HTML Preformatted"/>
    <w:basedOn w:val="a"/>
    <w:uiPriority w:val="99"/>
    <w:unhideWhenUsed/>
    <w:qFormat/>
    <w:rsid w:val="00300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5">
    <w:name w:val="Body Text Indent 2"/>
    <w:basedOn w:val="a"/>
    <w:uiPriority w:val="99"/>
    <w:unhideWhenUsed/>
    <w:qFormat/>
    <w:rsid w:val="007F6C2C"/>
    <w:pPr>
      <w:spacing w:after="120" w:line="480" w:lineRule="auto"/>
      <w:ind w:left="283"/>
    </w:pPr>
  </w:style>
  <w:style w:type="paragraph" w:customStyle="1" w:styleId="Style4">
    <w:name w:val="Style4"/>
    <w:basedOn w:val="a"/>
    <w:qFormat/>
    <w:rsid w:val="007F6C2C"/>
    <w:pPr>
      <w:widowControl w:val="0"/>
      <w:spacing w:line="328" w:lineRule="exact"/>
      <w:jc w:val="both"/>
    </w:pPr>
    <w:rPr>
      <w:sz w:val="24"/>
      <w:szCs w:val="24"/>
    </w:rPr>
  </w:style>
  <w:style w:type="paragraph" w:customStyle="1" w:styleId="aff9">
    <w:name w:val="Содержимое врезки"/>
    <w:basedOn w:val="a"/>
    <w:qFormat/>
  </w:style>
  <w:style w:type="paragraph" w:customStyle="1" w:styleId="affa">
    <w:name w:val="Содержимое таблицы"/>
    <w:basedOn w:val="a"/>
    <w:qFormat/>
    <w:pPr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numbering" w:customStyle="1" w:styleId="affc">
    <w:name w:val="Раздел"/>
    <w:uiPriority w:val="99"/>
    <w:qFormat/>
    <w:rsid w:val="00855703"/>
  </w:style>
  <w:style w:type="numbering" w:customStyle="1" w:styleId="13">
    <w:name w:val="Стиль1"/>
    <w:uiPriority w:val="99"/>
    <w:qFormat/>
    <w:rsid w:val="00A478CB"/>
  </w:style>
  <w:style w:type="numbering" w:customStyle="1" w:styleId="22">
    <w:name w:val="Стиль2"/>
    <w:link w:val="21"/>
    <w:uiPriority w:val="99"/>
    <w:qFormat/>
    <w:rsid w:val="00A478CB"/>
  </w:style>
  <w:style w:type="numbering" w:customStyle="1" w:styleId="32">
    <w:name w:val="Стиль3"/>
    <w:uiPriority w:val="99"/>
    <w:qFormat/>
    <w:rsid w:val="00D47FB1"/>
  </w:style>
  <w:style w:type="numbering" w:customStyle="1" w:styleId="40">
    <w:name w:val="Стиль4"/>
    <w:uiPriority w:val="99"/>
    <w:qFormat/>
    <w:rsid w:val="00CE46CA"/>
  </w:style>
  <w:style w:type="numbering" w:customStyle="1" w:styleId="50">
    <w:name w:val="Стиль5"/>
    <w:uiPriority w:val="99"/>
    <w:qFormat/>
    <w:rsid w:val="00CE46CA"/>
  </w:style>
  <w:style w:type="numbering" w:customStyle="1" w:styleId="60">
    <w:name w:val="Стиль6"/>
    <w:uiPriority w:val="99"/>
    <w:qFormat/>
    <w:rsid w:val="00CE46CA"/>
  </w:style>
  <w:style w:type="numbering" w:customStyle="1" w:styleId="7">
    <w:name w:val="Стиль7"/>
    <w:uiPriority w:val="99"/>
    <w:qFormat/>
    <w:rsid w:val="006A0EFC"/>
  </w:style>
  <w:style w:type="numbering" w:customStyle="1" w:styleId="8">
    <w:name w:val="Стиль8"/>
    <w:uiPriority w:val="99"/>
    <w:qFormat/>
    <w:rsid w:val="00F24790"/>
  </w:style>
  <w:style w:type="table" w:styleId="affd">
    <w:name w:val="Table Grid"/>
    <w:basedOn w:val="a1"/>
    <w:uiPriority w:val="39"/>
    <w:rsid w:val="004403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fikators.ru/okpd/28.93.32.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9885-5CC5-40AD-8EE7-4473CEE1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3011</Characters>
  <Application>Microsoft Office Word</Application>
  <DocSecurity>4</DocSecurity>
  <Lines>25</Lines>
  <Paragraphs>7</Paragraphs>
  <ScaleCrop>false</ScaleCrop>
  <Company>государственный заказ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Ивченкова Д.А.</dc:creator>
  <dc:description/>
  <cp:lastModifiedBy>Титаренко Елена Васильевна</cp:lastModifiedBy>
  <cp:revision>2</cp:revision>
  <cp:lastPrinted>2025-01-23T14:24:00Z</cp:lastPrinted>
  <dcterms:created xsi:type="dcterms:W3CDTF">2025-02-28T09:35:00Z</dcterms:created>
  <dcterms:modified xsi:type="dcterms:W3CDTF">2025-02-28T09:35:00Z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государственный заказ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