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F57B47"/>
    <w:p w:rsidR="00DB6D8C" w:rsidRPr="00F05FF9" w:rsidRDefault="00DB6D8C" w:rsidP="00DB6D8C">
      <w:pPr>
        <w:keepNext/>
        <w:spacing w:before="480" w:after="240"/>
        <w:jc w:val="center"/>
        <w:rPr>
          <w:b/>
          <w:bCs/>
        </w:rPr>
      </w:pPr>
      <w:r w:rsidRPr="00F05FF9">
        <w:rPr>
          <w:b/>
          <w:bCs/>
        </w:rPr>
        <w:t>Обоснование НМЦ</w:t>
      </w:r>
      <w:r w:rsidR="00251774">
        <w:rPr>
          <w:b/>
          <w:bCs/>
        </w:rPr>
        <w:t xml:space="preserve"> </w:t>
      </w:r>
      <w:r w:rsidR="00BE6648">
        <w:rPr>
          <w:b/>
          <w:bCs/>
        </w:rPr>
        <w:t>№</w:t>
      </w:r>
      <w:r w:rsidR="00307F86" w:rsidRPr="00307F86">
        <w:rPr>
          <w:b/>
          <w:bCs/>
        </w:rPr>
        <w:t>17.02.03-11-90 к  СЗ №24с-41 от 07.02.2025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2A60AE" w:rsidRDefault="002A60AE" w:rsidP="002A60AE">
            <w:pPr>
              <w:pStyle w:val="a5"/>
              <w:numPr>
                <w:ilvl w:val="0"/>
                <w:numId w:val="0"/>
              </w:numPr>
              <w:spacing w:before="0" w:after="0" w:line="240" w:lineRule="auto"/>
              <w:ind w:left="425" w:hanging="425"/>
              <w:jc w:val="center"/>
              <w:rPr>
                <w:b/>
                <w:szCs w:val="28"/>
              </w:rPr>
            </w:pPr>
            <w:r w:rsidRPr="00891901">
              <w:rPr>
                <w:b/>
                <w:szCs w:val="28"/>
              </w:rPr>
              <w:t>Монтаж трубопровода гидросульфида натрия от станции аммиачной воды до отд. АБДСКБ №2</w:t>
            </w:r>
            <w:r>
              <w:rPr>
                <w:b/>
                <w:szCs w:val="28"/>
              </w:rPr>
              <w:t>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307F86" w:rsidP="009F65B8">
            <w:pPr>
              <w:keepNext/>
              <w:spacing w:before="40" w:after="40"/>
              <w:jc w:val="center"/>
            </w:pPr>
            <w:r>
              <w:t>28 февраля</w:t>
            </w:r>
            <w:r w:rsidR="00BE6648">
              <w:t xml:space="preserve"> 2025</w:t>
            </w:r>
            <w:r w:rsidR="001F5374">
              <w:t xml:space="preserve"> г.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</w:pPr>
          </w:p>
        </w:tc>
      </w:tr>
      <w:tr w:rsidR="00D94C68" w:rsidRPr="00F05FF9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№</w:t>
            </w:r>
            <w:r w:rsidRPr="00F05FF9">
              <w:rPr>
                <w:b/>
                <w:bCs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b/>
                <w:bCs/>
              </w:rPr>
            </w:pPr>
            <w:r w:rsidRPr="00F05FF9">
              <w:rPr>
                <w:b/>
                <w:bCs/>
              </w:rPr>
              <w:t>Значения показателей</w:t>
            </w:r>
          </w:p>
        </w:tc>
      </w:tr>
      <w:tr w:rsidR="00D94C68" w:rsidRPr="002A60AE" w:rsidTr="00BC558E">
        <w:tc>
          <w:tcPr>
            <w:tcW w:w="808" w:type="dxa"/>
          </w:tcPr>
          <w:p w:rsidR="00D94C68" w:rsidRPr="002A60AE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2A60AE" w:rsidRDefault="00D94C68" w:rsidP="001507C3">
            <w:pPr>
              <w:spacing w:before="40" w:after="40"/>
            </w:pPr>
            <w:r w:rsidRPr="002A60AE"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2A60AE" w:rsidRDefault="005225AC" w:rsidP="00DB6D8C">
            <w:pPr>
              <w:spacing w:before="40" w:after="40"/>
            </w:pPr>
            <w:r w:rsidRPr="002A60AE">
              <w:t xml:space="preserve">В соответствии с утвержденным </w:t>
            </w:r>
            <w:r w:rsidR="00053182" w:rsidRPr="002A60AE">
              <w:t xml:space="preserve">техническим </w:t>
            </w:r>
            <w:r w:rsidRPr="002A60AE">
              <w:t xml:space="preserve">заданием </w:t>
            </w:r>
            <w:r w:rsidR="00DB6D8C" w:rsidRPr="002A60AE">
              <w:t>.</w:t>
            </w:r>
          </w:p>
        </w:tc>
      </w:tr>
      <w:tr w:rsidR="00D94C68" w:rsidRPr="002A60AE" w:rsidTr="00BC558E">
        <w:tc>
          <w:tcPr>
            <w:tcW w:w="808" w:type="dxa"/>
          </w:tcPr>
          <w:p w:rsidR="00D94C68" w:rsidRPr="002A60AE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2A60AE" w:rsidRDefault="00D94C68" w:rsidP="001507C3">
            <w:pPr>
              <w:spacing w:before="40" w:after="40"/>
            </w:pPr>
            <w:r w:rsidRPr="002A60AE">
              <w:t>Место поставки продукции</w:t>
            </w:r>
          </w:p>
        </w:tc>
        <w:tc>
          <w:tcPr>
            <w:tcW w:w="3216" w:type="dxa"/>
          </w:tcPr>
          <w:p w:rsidR="00D94C68" w:rsidRPr="002A60AE" w:rsidRDefault="002A60AE" w:rsidP="009F0D28">
            <w:pPr>
              <w:spacing w:before="40" w:after="40"/>
            </w:pPr>
            <w:r w:rsidRPr="002A60AE">
              <w:rPr>
                <w:lang w:eastAsia="ru-RU"/>
              </w:rPr>
              <w:t>Пермский край, г. Березники, ул. Новосодовая, 19,  АО «БСЗ», цех №11, отделение АБДСКБ №2.</w:t>
            </w:r>
          </w:p>
        </w:tc>
      </w:tr>
      <w:tr w:rsidR="00D94C68" w:rsidRPr="002A60AE" w:rsidTr="00BC558E">
        <w:tc>
          <w:tcPr>
            <w:tcW w:w="808" w:type="dxa"/>
          </w:tcPr>
          <w:p w:rsidR="00D94C68" w:rsidRPr="002A60AE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2A60AE" w:rsidRDefault="00D94C68" w:rsidP="001507C3">
            <w:pPr>
              <w:spacing w:before="40" w:after="40"/>
            </w:pPr>
            <w:r w:rsidRPr="002A60AE"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D94C68" w:rsidRPr="002A60AE" w:rsidRDefault="002A60AE" w:rsidP="00BE6648">
            <w:pPr>
              <w:spacing w:before="40" w:after="40"/>
            </w:pPr>
            <w:r w:rsidRPr="002A60AE">
              <w:t>202</w:t>
            </w:r>
            <w:r w:rsidR="00BE6648">
              <w:t>5</w:t>
            </w:r>
            <w:r w:rsidRPr="002A60AE">
              <w:t>г.</w:t>
            </w:r>
          </w:p>
        </w:tc>
      </w:tr>
      <w:tr w:rsidR="00D94C68" w:rsidRPr="002A60AE" w:rsidTr="00BC558E">
        <w:tc>
          <w:tcPr>
            <w:tcW w:w="808" w:type="dxa"/>
          </w:tcPr>
          <w:p w:rsidR="00D94C68" w:rsidRPr="002A60AE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2A60AE" w:rsidRDefault="00D94C68" w:rsidP="001507C3">
            <w:pPr>
              <w:spacing w:before="40" w:after="40"/>
            </w:pPr>
            <w:r w:rsidRPr="002A60AE"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D94C68" w:rsidRPr="002A60AE" w:rsidRDefault="00A837EA" w:rsidP="0026074E">
            <w:pPr>
              <w:spacing w:before="40" w:after="40"/>
            </w:pPr>
            <w:r w:rsidRPr="002A60AE">
              <w:t xml:space="preserve">В соответствии с </w:t>
            </w:r>
            <w:r w:rsidR="0026074E" w:rsidRPr="002A60AE">
              <w:t>документацией о закупке</w:t>
            </w:r>
          </w:p>
        </w:tc>
      </w:tr>
      <w:tr w:rsidR="00D94C68" w:rsidRPr="002A60AE" w:rsidTr="00BC558E">
        <w:tc>
          <w:tcPr>
            <w:tcW w:w="808" w:type="dxa"/>
          </w:tcPr>
          <w:p w:rsidR="00D94C68" w:rsidRPr="002A60AE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2A60AE" w:rsidRDefault="00D94C68" w:rsidP="001507C3">
            <w:pPr>
              <w:spacing w:before="40" w:after="40"/>
            </w:pPr>
            <w:r w:rsidRPr="002A60AE"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D94C68" w:rsidRPr="002A60AE" w:rsidRDefault="00AA6EDF" w:rsidP="001507C3">
            <w:pPr>
              <w:spacing w:before="40" w:after="40"/>
            </w:pPr>
            <w:r w:rsidRPr="002A60AE">
              <w:rPr>
                <w:bCs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D94C68" w:rsidRPr="002A60AE" w:rsidTr="00BC558E">
        <w:tc>
          <w:tcPr>
            <w:tcW w:w="808" w:type="dxa"/>
          </w:tcPr>
          <w:p w:rsidR="00D94C68" w:rsidRPr="002A60AE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2A60AE" w:rsidRDefault="00D94C68" w:rsidP="001507C3">
            <w:pPr>
              <w:spacing w:before="40" w:after="40"/>
            </w:pPr>
            <w:r w:rsidRPr="002A60AE"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AA6EDF" w:rsidRPr="002A60AE" w:rsidRDefault="00AA6EDF" w:rsidP="00AA6EDF">
            <w:pPr>
              <w:keepNext/>
              <w:keepLines/>
              <w:spacing w:before="0"/>
              <w:jc w:val="both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 xml:space="preserve">Формирование  НМЦ учитывает  лимитированные и дополнительные затраты компенсируемые Заказчиком: </w:t>
            </w:r>
          </w:p>
          <w:p w:rsidR="00F24CF4" w:rsidRPr="002A60AE" w:rsidRDefault="00F24CF4" w:rsidP="00AA6EDF">
            <w:pPr>
              <w:keepNext/>
              <w:keepLines/>
              <w:spacing w:before="0"/>
              <w:jc w:val="both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>-временные здания и сооружения</w:t>
            </w:r>
            <w:r w:rsidR="002A60AE" w:rsidRPr="002A60AE">
              <w:rPr>
                <w:rFonts w:eastAsia="Times New Roman"/>
              </w:rPr>
              <w:t xml:space="preserve"> на сумму </w:t>
            </w:r>
            <w:r w:rsidR="00307F86">
              <w:rPr>
                <w:rFonts w:eastAsia="Times New Roman"/>
              </w:rPr>
              <w:t>279 738,98</w:t>
            </w:r>
            <w:r w:rsidR="002A60AE" w:rsidRPr="002A60AE">
              <w:rPr>
                <w:rFonts w:eastAsia="Times New Roman"/>
              </w:rPr>
              <w:t xml:space="preserve"> руб. с НДС;</w:t>
            </w:r>
          </w:p>
          <w:p w:rsidR="002A60AE" w:rsidRPr="002A60AE" w:rsidRDefault="002A60AE" w:rsidP="00AA6EDF">
            <w:pPr>
              <w:keepNext/>
              <w:keepLines/>
              <w:spacing w:before="0"/>
              <w:jc w:val="both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 xml:space="preserve">- зимнее удорожание на сумму </w:t>
            </w:r>
            <w:r w:rsidR="00307F86">
              <w:rPr>
                <w:rFonts w:eastAsia="Times New Roman"/>
              </w:rPr>
              <w:t>380 656,94</w:t>
            </w:r>
            <w:r w:rsidRPr="002A60AE">
              <w:rPr>
                <w:rFonts w:eastAsia="Times New Roman"/>
              </w:rPr>
              <w:t xml:space="preserve"> руб. с НДС;</w:t>
            </w:r>
          </w:p>
          <w:p w:rsidR="002A60AE" w:rsidRPr="002A60AE" w:rsidRDefault="002A60AE" w:rsidP="002A60AE">
            <w:pPr>
              <w:spacing w:before="40" w:after="40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 xml:space="preserve">- командировочные расходы на сумму </w:t>
            </w:r>
            <w:r w:rsidR="00307F86">
              <w:rPr>
                <w:rFonts w:eastAsia="Times New Roman"/>
              </w:rPr>
              <w:t>806 932,97</w:t>
            </w:r>
            <w:r w:rsidRPr="002A60AE">
              <w:rPr>
                <w:rFonts w:eastAsia="Times New Roman"/>
              </w:rPr>
              <w:t xml:space="preserve"> руб. с НДС в </w:t>
            </w:r>
            <w:r w:rsidRPr="002A60AE">
              <w:rPr>
                <w:rFonts w:eastAsia="Times New Roman"/>
              </w:rPr>
              <w:lastRenderedPageBreak/>
              <w:t>том числе:</w:t>
            </w:r>
          </w:p>
          <w:p w:rsidR="002A60AE" w:rsidRPr="002A60AE" w:rsidRDefault="002A60AE" w:rsidP="002A60AE">
            <w:pPr>
              <w:spacing w:before="40" w:after="40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>- суточные 278 282,55 руб. с НДС;</w:t>
            </w:r>
          </w:p>
          <w:p w:rsidR="002A60AE" w:rsidRPr="002A60AE" w:rsidRDefault="002A60AE" w:rsidP="002A60AE">
            <w:pPr>
              <w:spacing w:before="40" w:after="40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 xml:space="preserve">-проживание </w:t>
            </w:r>
            <w:r w:rsidR="00307F86">
              <w:rPr>
                <w:rFonts w:eastAsia="Times New Roman"/>
              </w:rPr>
              <w:t>378 346,50</w:t>
            </w:r>
            <w:r w:rsidRPr="002A60AE">
              <w:rPr>
                <w:rFonts w:eastAsia="Times New Roman"/>
              </w:rPr>
              <w:t xml:space="preserve"> руб. с НДС;</w:t>
            </w:r>
          </w:p>
          <w:p w:rsidR="002A60AE" w:rsidRPr="002A60AE" w:rsidRDefault="002A60AE" w:rsidP="002A60AE">
            <w:pPr>
              <w:spacing w:before="40" w:after="40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 xml:space="preserve">-проезд </w:t>
            </w:r>
            <w:r w:rsidR="00307F86">
              <w:rPr>
                <w:rFonts w:eastAsia="Times New Roman"/>
              </w:rPr>
              <w:t>150 303,91</w:t>
            </w:r>
            <w:r w:rsidRPr="002A60AE">
              <w:rPr>
                <w:rFonts w:eastAsia="Times New Roman"/>
              </w:rPr>
              <w:t xml:space="preserve"> руб. с НДС;</w:t>
            </w:r>
          </w:p>
          <w:p w:rsidR="00AA6EDF" w:rsidRPr="002A60AE" w:rsidRDefault="00AA6EDF" w:rsidP="00AA6EDF">
            <w:pPr>
              <w:keepNext/>
              <w:keepLines/>
              <w:spacing w:before="0"/>
              <w:jc w:val="both"/>
              <w:rPr>
                <w:rFonts w:eastAsia="Times New Roman"/>
              </w:rPr>
            </w:pPr>
            <w:r w:rsidRPr="002A60AE">
              <w:rPr>
                <w:rFonts w:eastAsia="Times New Roman"/>
              </w:rPr>
              <w:t>- непредвиденные расходы</w:t>
            </w:r>
            <w:r w:rsidR="002A60AE" w:rsidRPr="002A60AE">
              <w:rPr>
                <w:rFonts w:eastAsia="Times New Roman"/>
              </w:rPr>
              <w:t xml:space="preserve"> на сумму </w:t>
            </w:r>
            <w:r w:rsidR="002D6EC3">
              <w:rPr>
                <w:rFonts w:eastAsia="Times New Roman"/>
              </w:rPr>
              <w:t>361 905,08</w:t>
            </w:r>
            <w:r w:rsidR="00BE6648">
              <w:rPr>
                <w:rFonts w:eastAsia="Times New Roman"/>
              </w:rPr>
              <w:t xml:space="preserve"> </w:t>
            </w:r>
            <w:r w:rsidR="002A60AE" w:rsidRPr="002A60AE">
              <w:rPr>
                <w:rFonts w:eastAsia="Times New Roman"/>
              </w:rPr>
              <w:t>руб</w:t>
            </w:r>
            <w:r w:rsidR="00BE6648">
              <w:rPr>
                <w:rFonts w:eastAsia="Times New Roman"/>
              </w:rPr>
              <w:t>.</w:t>
            </w:r>
            <w:r w:rsidR="002A60AE" w:rsidRPr="002A60AE">
              <w:rPr>
                <w:rFonts w:eastAsia="Times New Roman"/>
              </w:rPr>
              <w:t xml:space="preserve"> с НДС</w:t>
            </w:r>
            <w:r w:rsidR="00FF3099" w:rsidRPr="002A60AE">
              <w:rPr>
                <w:rFonts w:eastAsia="Times New Roman"/>
              </w:rPr>
              <w:t>;</w:t>
            </w:r>
            <w:r w:rsidRPr="002A60AE">
              <w:rPr>
                <w:rFonts w:eastAsia="Times New Roman"/>
              </w:rPr>
              <w:t xml:space="preserve"> </w:t>
            </w:r>
          </w:p>
          <w:p w:rsidR="00A6210F" w:rsidRPr="002A60AE" w:rsidRDefault="00A6210F" w:rsidP="00AA6EDF">
            <w:pPr>
              <w:spacing w:before="40" w:after="40"/>
            </w:pPr>
            <w:r w:rsidRPr="002A60AE">
              <w:t>-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  <w:r w:rsidRPr="002A60AE">
              <w:rPr>
                <w:color w:val="FFFFFF" w:themeColor="background1"/>
              </w:rPr>
              <w:t xml:space="preserve"> с</w:t>
            </w:r>
          </w:p>
        </w:tc>
      </w:tr>
      <w:tr w:rsidR="00D94C68" w:rsidRPr="002A60AE" w:rsidTr="00BC558E">
        <w:tc>
          <w:tcPr>
            <w:tcW w:w="808" w:type="dxa"/>
          </w:tcPr>
          <w:p w:rsidR="00D94C68" w:rsidRPr="002A60AE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</w:pPr>
          </w:p>
        </w:tc>
        <w:tc>
          <w:tcPr>
            <w:tcW w:w="5331" w:type="dxa"/>
          </w:tcPr>
          <w:p w:rsidR="00D94C68" w:rsidRPr="002A60AE" w:rsidRDefault="00D94C68" w:rsidP="00502F78">
            <w:pPr>
              <w:spacing w:before="40" w:after="40"/>
            </w:pPr>
            <w:r w:rsidRPr="002A60AE">
              <w:t xml:space="preserve">Рассчитанная величина НМЦ </w:t>
            </w:r>
          </w:p>
        </w:tc>
        <w:tc>
          <w:tcPr>
            <w:tcW w:w="3216" w:type="dxa"/>
          </w:tcPr>
          <w:p w:rsidR="00D94C68" w:rsidRPr="002A60AE" w:rsidRDefault="00307F86" w:rsidP="00542390">
            <w:pPr>
              <w:spacing w:before="40" w:after="40"/>
            </w:pPr>
            <w:r>
              <w:t>12 425 354,38</w:t>
            </w:r>
            <w:r w:rsidR="00F24CF4" w:rsidRPr="002A60AE">
              <w:t xml:space="preserve"> </w:t>
            </w:r>
            <w:r w:rsidR="00A837EA" w:rsidRPr="002A60AE">
              <w:t>руб.</w:t>
            </w:r>
            <w:r w:rsidR="00AA6EDF" w:rsidRPr="002A60AE">
              <w:t xml:space="preserve"> </w:t>
            </w:r>
            <w:r w:rsidR="00AA6EDF" w:rsidRPr="002A60AE">
              <w:rPr>
                <w:rFonts w:eastAsia="Times New Roman"/>
              </w:rPr>
              <w:t xml:space="preserve">с </w:t>
            </w:r>
            <w:r w:rsidR="00502F78" w:rsidRPr="002A60AE">
              <w:rPr>
                <w:rFonts w:eastAsia="Times New Roman"/>
              </w:rPr>
              <w:t xml:space="preserve">НДС с </w:t>
            </w:r>
            <w:r w:rsidR="00AA6EDF" w:rsidRPr="002A60AE">
              <w:rPr>
                <w:rFonts w:eastAsia="Times New Roman"/>
              </w:rPr>
              <w:t>учетом разделительной ведомости (разделительная ведомость- ответственность поставки ТМЦ между заказчиком и подрядчиком).</w:t>
            </w:r>
          </w:p>
        </w:tc>
      </w:tr>
      <w:tr w:rsidR="00D94C68" w:rsidRPr="002A60AE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2A60AE" w:rsidRDefault="00005515" w:rsidP="00885A00">
            <w:pPr>
              <w:spacing w:before="40" w:after="40"/>
            </w:pPr>
            <w:r w:rsidRPr="002A60AE">
              <w:t xml:space="preserve">    </w:t>
            </w:r>
            <w:r w:rsidR="00885A00" w:rsidRPr="002A60AE">
              <w:t>8</w:t>
            </w:r>
            <w:r w:rsidRPr="002A60AE"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2A60AE" w:rsidRDefault="00D94C68" w:rsidP="001507C3">
            <w:pPr>
              <w:keepNext/>
              <w:spacing w:before="40" w:after="40"/>
            </w:pPr>
            <w:r w:rsidRPr="002A60AE"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2A60AE" w:rsidRPr="002A60AE" w:rsidRDefault="002A60AE" w:rsidP="00B41491">
            <w:pPr>
              <w:spacing w:before="40" w:after="40"/>
            </w:pPr>
            <w:r w:rsidRPr="002A60AE">
              <w:t>11-1012.0181-66134 изм.2, БСЗ-1-1012.0181-65873 изм.2</w:t>
            </w:r>
          </w:p>
          <w:p w:rsidR="00B41491" w:rsidRPr="002A60AE" w:rsidRDefault="00B41491" w:rsidP="00B41491">
            <w:pPr>
              <w:spacing w:before="40" w:after="40"/>
            </w:pPr>
            <w:r w:rsidRPr="002A60AE">
              <w:t>Приказ № 421/пр. от 4 августа 2020 г ; (редакция 07.07.2022г.</w:t>
            </w:r>
          </w:p>
          <w:p w:rsidR="006D37B5" w:rsidRPr="002A60AE" w:rsidRDefault="006D37B5" w:rsidP="002A60AE">
            <w:pPr>
              <w:spacing w:before="40" w:after="40"/>
            </w:pPr>
            <w:r w:rsidRPr="002A60AE">
              <w:t>Приказ № 332/пр от 19.06.2020 г.</w:t>
            </w:r>
          </w:p>
          <w:p w:rsidR="006D37B5" w:rsidRPr="002A60AE" w:rsidRDefault="006D37B5" w:rsidP="006D37B5">
            <w:r w:rsidRPr="002A60AE">
              <w:t>Приказ № 325/пр от 25.05.2021 г.</w:t>
            </w:r>
          </w:p>
          <w:p w:rsidR="00307F86" w:rsidRDefault="00307F86" w:rsidP="00885A0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A01A8">
              <w:rPr>
                <w:bCs/>
                <w:color w:val="000000"/>
                <w:sz w:val="24"/>
                <w:szCs w:val="24"/>
                <w:lang w:eastAsia="ru-RU"/>
              </w:rPr>
              <w:t>Письмо Минстроя России от 15.02.2025 № 8275-ИФ/09 </w:t>
            </w:r>
          </w:p>
          <w:p w:rsidR="00885A00" w:rsidRPr="002A60AE" w:rsidRDefault="00885A00" w:rsidP="00885A00">
            <w:r w:rsidRPr="002A60AE">
              <w:t xml:space="preserve">Данные «ЦСИ» по РБ и </w:t>
            </w:r>
            <w:r w:rsidR="006D37B5" w:rsidRPr="002A60AE">
              <w:t xml:space="preserve">«ПРЦЦС», прайс-листы (конъюнктурный анализ) </w:t>
            </w:r>
          </w:p>
          <w:p w:rsidR="005D672C" w:rsidRPr="002A60AE" w:rsidRDefault="005D672C" w:rsidP="00BE398B">
            <w:pPr>
              <w:spacing w:before="40" w:after="40"/>
            </w:pPr>
          </w:p>
        </w:tc>
      </w:tr>
      <w:tr w:rsidR="00D94C68" w:rsidRPr="002A60AE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2A60AE" w:rsidRDefault="00005515" w:rsidP="00885A00">
            <w:pPr>
              <w:spacing w:before="40" w:after="40"/>
            </w:pPr>
            <w:r w:rsidRPr="002A60AE">
              <w:t xml:space="preserve">   </w:t>
            </w:r>
            <w:r w:rsidR="00885A00" w:rsidRPr="002A60AE">
              <w:t>9</w:t>
            </w:r>
            <w:r w:rsidRPr="002A60AE"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2A60AE" w:rsidRDefault="00D94C68" w:rsidP="001507C3">
            <w:pPr>
              <w:keepNext/>
              <w:spacing w:before="40" w:after="40"/>
            </w:pPr>
            <w:r w:rsidRPr="002A60AE"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D94C68" w:rsidRPr="002A60AE" w:rsidRDefault="002A60AE" w:rsidP="00CC163D">
            <w:pPr>
              <w:spacing w:before="40" w:after="40"/>
            </w:pPr>
            <w:r w:rsidRPr="002A60AE">
              <w:t xml:space="preserve">Гарантийный срок выполненных работ составляет 5 лет с даты подписания актов по </w:t>
            </w:r>
            <w:r w:rsidRPr="002A60AE">
              <w:lastRenderedPageBreak/>
              <w:t>форме КС-2, либо с даты устранения недостатков, выявленных в период гарантийного срока.</w:t>
            </w:r>
          </w:p>
        </w:tc>
      </w:tr>
      <w:tr w:rsidR="00D94C68" w:rsidRPr="002A60AE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2A60AE" w:rsidRDefault="00885A00" w:rsidP="00005515">
            <w:pPr>
              <w:spacing w:before="40" w:after="40"/>
            </w:pPr>
            <w:r w:rsidRPr="002A60AE">
              <w:lastRenderedPageBreak/>
              <w:t xml:space="preserve">    10</w:t>
            </w:r>
            <w:r w:rsidR="00005515" w:rsidRPr="002A60AE">
              <w:t>.</w:t>
            </w:r>
          </w:p>
        </w:tc>
        <w:tc>
          <w:tcPr>
            <w:tcW w:w="5331" w:type="dxa"/>
          </w:tcPr>
          <w:p w:rsidR="00D94C68" w:rsidRPr="002A60AE" w:rsidRDefault="00D94C68" w:rsidP="001507C3">
            <w:pPr>
              <w:spacing w:before="40" w:after="40"/>
            </w:pPr>
            <w:r w:rsidRPr="002A60AE">
              <w:t>Перечень приложений (при наличии)</w:t>
            </w:r>
          </w:p>
        </w:tc>
        <w:tc>
          <w:tcPr>
            <w:tcW w:w="3216" w:type="dxa"/>
          </w:tcPr>
          <w:p w:rsidR="00307F86" w:rsidRDefault="00307F86" w:rsidP="00307F86">
            <w:pPr>
              <w:pStyle w:val="aa"/>
              <w:numPr>
                <w:ilvl w:val="0"/>
                <w:numId w:val="4"/>
              </w:numPr>
              <w:spacing w:before="40" w:after="40"/>
            </w:pPr>
            <w:r w:rsidRPr="00307F86">
              <w:t>СЗ № СлЗ-24С_023-2025 от 07.02.2025 СЗ №24с-41 от 07.02.2025</w:t>
            </w:r>
          </w:p>
          <w:p w:rsidR="002A60AE" w:rsidRPr="002A60AE" w:rsidRDefault="00AA6EDF" w:rsidP="00307F86">
            <w:pPr>
              <w:pStyle w:val="aa"/>
              <w:numPr>
                <w:ilvl w:val="0"/>
                <w:numId w:val="4"/>
              </w:numPr>
              <w:spacing w:before="40" w:after="40"/>
            </w:pPr>
            <w:r w:rsidRPr="002A60AE">
              <w:t>Сметный расчет</w:t>
            </w:r>
          </w:p>
          <w:p w:rsidR="00D94C68" w:rsidRPr="002A60AE" w:rsidRDefault="002A60AE" w:rsidP="002A60AE">
            <w:pPr>
              <w:pStyle w:val="aa"/>
              <w:numPr>
                <w:ilvl w:val="0"/>
                <w:numId w:val="4"/>
              </w:numPr>
              <w:spacing w:before="40" w:after="40"/>
            </w:pPr>
            <w:r w:rsidRPr="002A60AE">
              <w:t>Разделительная ведомость</w:t>
            </w:r>
          </w:p>
          <w:p w:rsidR="002A60AE" w:rsidRPr="002A60AE" w:rsidRDefault="00307F86" w:rsidP="00307F86">
            <w:pPr>
              <w:pStyle w:val="aa"/>
              <w:numPr>
                <w:ilvl w:val="0"/>
                <w:numId w:val="4"/>
              </w:numPr>
              <w:spacing w:before="40" w:after="40"/>
            </w:pPr>
            <w:r w:rsidRPr="00307F86">
              <w:t>РЕШЕНИЕ №17.02.03-11-90</w:t>
            </w:r>
          </w:p>
        </w:tc>
      </w:tr>
    </w:tbl>
    <w:p w:rsidR="00BE0347" w:rsidRPr="002A60AE" w:rsidRDefault="00BE0347"/>
    <w:p w:rsidR="00BE0347" w:rsidRPr="002A60AE" w:rsidRDefault="00BE0347" w:rsidP="00BE0347"/>
    <w:p w:rsidR="00BE0347" w:rsidRPr="002A60AE" w:rsidRDefault="009F1D91" w:rsidP="00AF6E57">
      <w:pPr>
        <w:tabs>
          <w:tab w:val="right" w:pos="3686"/>
          <w:tab w:val="right" w:pos="7655"/>
          <w:tab w:val="right" w:pos="9923"/>
        </w:tabs>
        <w:jc w:val="both"/>
        <w:rPr>
          <w:i/>
          <w:iCs/>
        </w:rPr>
      </w:pPr>
      <w:bookmarkStart w:id="0" w:name="_GoBack"/>
      <w:bookmarkEnd w:id="0"/>
      <w:r w:rsidRPr="002A60AE">
        <w:rPr>
          <w:i/>
          <w:iCs/>
        </w:rPr>
        <w:t xml:space="preserve">  </w:t>
      </w:r>
    </w:p>
    <w:sectPr w:rsidR="00BE0347" w:rsidRPr="002A60AE" w:rsidSect="009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DB8" w:rsidRDefault="00C56DB8" w:rsidP="00D94C68">
      <w:pPr>
        <w:spacing w:before="0"/>
      </w:pPr>
      <w:r>
        <w:separator/>
      </w:r>
    </w:p>
  </w:endnote>
  <w:endnote w:type="continuationSeparator" w:id="0">
    <w:p w:rsidR="00C56DB8" w:rsidRDefault="00C56DB8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DB8" w:rsidRDefault="00C56DB8" w:rsidP="00D94C68">
      <w:pPr>
        <w:spacing w:before="0"/>
      </w:pPr>
      <w:r>
        <w:separator/>
      </w:r>
    </w:p>
  </w:footnote>
  <w:footnote w:type="continuationSeparator" w:id="0">
    <w:p w:rsidR="00C56DB8" w:rsidRDefault="00C56DB8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781B"/>
    <w:multiLevelType w:val="hybridMultilevel"/>
    <w:tmpl w:val="B282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68"/>
    <w:rsid w:val="00005515"/>
    <w:rsid w:val="00017981"/>
    <w:rsid w:val="00053182"/>
    <w:rsid w:val="00074A83"/>
    <w:rsid w:val="00092B20"/>
    <w:rsid w:val="000B6532"/>
    <w:rsid w:val="000F3553"/>
    <w:rsid w:val="0012514C"/>
    <w:rsid w:val="00146BF3"/>
    <w:rsid w:val="001837D0"/>
    <w:rsid w:val="001F2925"/>
    <w:rsid w:val="001F5374"/>
    <w:rsid w:val="00227991"/>
    <w:rsid w:val="00251774"/>
    <w:rsid w:val="0026074E"/>
    <w:rsid w:val="00274CAF"/>
    <w:rsid w:val="002A60AE"/>
    <w:rsid w:val="002D6EC3"/>
    <w:rsid w:val="002E39F8"/>
    <w:rsid w:val="00307F86"/>
    <w:rsid w:val="00310DF4"/>
    <w:rsid w:val="00324F09"/>
    <w:rsid w:val="0034645C"/>
    <w:rsid w:val="003C0548"/>
    <w:rsid w:val="00413A68"/>
    <w:rsid w:val="00472C54"/>
    <w:rsid w:val="004B313C"/>
    <w:rsid w:val="004B6913"/>
    <w:rsid w:val="004C0A20"/>
    <w:rsid w:val="004C3771"/>
    <w:rsid w:val="004E29C2"/>
    <w:rsid w:val="004E6EA0"/>
    <w:rsid w:val="004F1EDE"/>
    <w:rsid w:val="00502F78"/>
    <w:rsid w:val="00510EA1"/>
    <w:rsid w:val="005225AC"/>
    <w:rsid w:val="00542390"/>
    <w:rsid w:val="0055553E"/>
    <w:rsid w:val="00560C48"/>
    <w:rsid w:val="005662D9"/>
    <w:rsid w:val="005D672C"/>
    <w:rsid w:val="006220F5"/>
    <w:rsid w:val="00653E3D"/>
    <w:rsid w:val="006D37B5"/>
    <w:rsid w:val="00711075"/>
    <w:rsid w:val="00845D47"/>
    <w:rsid w:val="0087330E"/>
    <w:rsid w:val="00885A00"/>
    <w:rsid w:val="008C7AC7"/>
    <w:rsid w:val="008E4E7D"/>
    <w:rsid w:val="00937FFD"/>
    <w:rsid w:val="00975C49"/>
    <w:rsid w:val="009A3982"/>
    <w:rsid w:val="009B20E5"/>
    <w:rsid w:val="009D1340"/>
    <w:rsid w:val="009D2EB7"/>
    <w:rsid w:val="009E0FEA"/>
    <w:rsid w:val="009E33DD"/>
    <w:rsid w:val="009F0D28"/>
    <w:rsid w:val="009F1D91"/>
    <w:rsid w:val="009F65B8"/>
    <w:rsid w:val="00A6210F"/>
    <w:rsid w:val="00A837EA"/>
    <w:rsid w:val="00AA1503"/>
    <w:rsid w:val="00AA6EDF"/>
    <w:rsid w:val="00AD2E2A"/>
    <w:rsid w:val="00AF6E57"/>
    <w:rsid w:val="00B06E0A"/>
    <w:rsid w:val="00B10B4D"/>
    <w:rsid w:val="00B41491"/>
    <w:rsid w:val="00B971FE"/>
    <w:rsid w:val="00BA3691"/>
    <w:rsid w:val="00BC558E"/>
    <w:rsid w:val="00BE0347"/>
    <w:rsid w:val="00BE398B"/>
    <w:rsid w:val="00BE6648"/>
    <w:rsid w:val="00BF10C6"/>
    <w:rsid w:val="00C37539"/>
    <w:rsid w:val="00C5304A"/>
    <w:rsid w:val="00C56DB8"/>
    <w:rsid w:val="00C75210"/>
    <w:rsid w:val="00C87DFE"/>
    <w:rsid w:val="00CB745F"/>
    <w:rsid w:val="00CC163D"/>
    <w:rsid w:val="00CF37E4"/>
    <w:rsid w:val="00D77177"/>
    <w:rsid w:val="00D94C68"/>
    <w:rsid w:val="00DB32D3"/>
    <w:rsid w:val="00DB6D8C"/>
    <w:rsid w:val="00DF7259"/>
    <w:rsid w:val="00E13978"/>
    <w:rsid w:val="00E2468C"/>
    <w:rsid w:val="00E33116"/>
    <w:rsid w:val="00E363D3"/>
    <w:rsid w:val="00E42A08"/>
    <w:rsid w:val="00E80B5E"/>
    <w:rsid w:val="00E86ED6"/>
    <w:rsid w:val="00E9387F"/>
    <w:rsid w:val="00EF0BFF"/>
    <w:rsid w:val="00F24CF4"/>
    <w:rsid w:val="00F418ED"/>
    <w:rsid w:val="00F4436A"/>
    <w:rsid w:val="00F57B47"/>
    <w:rsid w:val="00FC5FA5"/>
    <w:rsid w:val="00FE4A00"/>
    <w:rsid w:val="00FF30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F30AF-BF0D-42EF-87EB-B020FCF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1">
    <w:name w:val="header"/>
    <w:basedOn w:val="a6"/>
    <w:link w:val="af2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5">
    <w:name w:val="List"/>
    <w:aliases w:val="Список Знак1,Список Знак Знак"/>
    <w:basedOn w:val="a6"/>
    <w:rsid w:val="002A60AE"/>
    <w:pPr>
      <w:numPr>
        <w:numId w:val="3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Багаутдинова Альбина Витальевна</cp:lastModifiedBy>
  <cp:revision>40</cp:revision>
  <cp:lastPrinted>2021-06-24T04:40:00Z</cp:lastPrinted>
  <dcterms:created xsi:type="dcterms:W3CDTF">2021-06-24T06:08:00Z</dcterms:created>
  <dcterms:modified xsi:type="dcterms:W3CDTF">2025-03-04T03:55:00Z</dcterms:modified>
</cp:coreProperties>
</file>