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063D5" w14:textId="77777777" w:rsidR="00172AAE" w:rsidRPr="00680B86" w:rsidRDefault="00172AAE" w:rsidP="00172AAE">
      <w:pPr>
        <w:jc w:val="center"/>
      </w:pPr>
      <w:r w:rsidRPr="00680B86">
        <w:rPr>
          <w:b/>
        </w:rPr>
        <w:t>Техническое задание</w:t>
      </w:r>
    </w:p>
    <w:p w14:paraId="7702A9C8" w14:textId="77777777" w:rsidR="00172AAE" w:rsidRPr="00680B86" w:rsidRDefault="00172AAE" w:rsidP="00172AAE">
      <w:pPr>
        <w:jc w:val="center"/>
        <w:rPr>
          <w:b/>
        </w:rPr>
      </w:pPr>
      <w:r w:rsidRPr="00680B86">
        <w:rPr>
          <w:b/>
        </w:rPr>
        <w:t>на поставку кислот</w:t>
      </w:r>
      <w:r>
        <w:rPr>
          <w:b/>
        </w:rPr>
        <w:t>ы</w:t>
      </w:r>
    </w:p>
    <w:p w14:paraId="3C3861D5" w14:textId="77777777" w:rsidR="00172AAE" w:rsidRPr="00284D75" w:rsidRDefault="00172AAE" w:rsidP="00172AAE">
      <w:pPr>
        <w:jc w:val="center"/>
        <w:rPr>
          <w:b/>
        </w:rPr>
      </w:pPr>
      <w:r w:rsidRPr="00680B86">
        <w:rPr>
          <w:b/>
        </w:rPr>
        <w:t>для нужд АО «</w:t>
      </w:r>
      <w:proofErr w:type="spellStart"/>
      <w:r w:rsidRPr="00680B86">
        <w:rPr>
          <w:b/>
        </w:rPr>
        <w:t>Орелгортеплоэнерго</w:t>
      </w:r>
      <w:proofErr w:type="spellEnd"/>
      <w:r w:rsidRPr="00680B86">
        <w:rPr>
          <w:b/>
        </w:rPr>
        <w:t>».</w:t>
      </w:r>
    </w:p>
    <w:p w14:paraId="5A0DEBBD" w14:textId="77777777" w:rsidR="00172AAE" w:rsidRDefault="00172AAE" w:rsidP="00172AAE">
      <w:pPr>
        <w:pStyle w:val="ConsPlusNormal"/>
        <w:widowControl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631996D0" w14:textId="77777777" w:rsidR="00172AAE" w:rsidRPr="00284D75" w:rsidRDefault="00172AAE" w:rsidP="00172AAE">
      <w:pPr>
        <w:pStyle w:val="ConsPlusNormal"/>
        <w:widowControl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67BB8BA4" w14:textId="77777777" w:rsidR="00172AAE" w:rsidRPr="00284D75" w:rsidRDefault="00172AAE" w:rsidP="00172AAE">
      <w:pPr>
        <w:ind w:right="-1"/>
        <w:jc w:val="both"/>
      </w:pPr>
      <w:r w:rsidRPr="00284D75">
        <w:tab/>
        <w:t xml:space="preserve">Предмет закупки, цель закупки, краткая характеристика: </w:t>
      </w:r>
      <w:r>
        <w:t>кислоты</w:t>
      </w:r>
      <w:r w:rsidRPr="002768F5">
        <w:t xml:space="preserve"> (далее- Продукция, МТР) </w:t>
      </w:r>
      <w:r>
        <w:rPr>
          <w:color w:val="0D0D0D" w:themeColor="text1" w:themeTint="F2"/>
        </w:rPr>
        <w:t>применяется для</w:t>
      </w:r>
      <w:r w:rsidRPr="00F35F3B">
        <w:t xml:space="preserve"> проведения химических очисток котлов и теплообменного оборудования</w:t>
      </w:r>
      <w:r>
        <w:t>,</w:t>
      </w:r>
      <w:r w:rsidRPr="00284D75">
        <w:t xml:space="preserve"> эксплуатируем</w:t>
      </w:r>
      <w:r>
        <w:t>ых</w:t>
      </w:r>
      <w:r w:rsidRPr="00284D75">
        <w:t xml:space="preserve"> АО «</w:t>
      </w:r>
      <w:proofErr w:type="spellStart"/>
      <w:r w:rsidRPr="00284D75">
        <w:t>Орелгортеплоэнерго</w:t>
      </w:r>
      <w:proofErr w:type="spellEnd"/>
      <w:r w:rsidRPr="00284D75">
        <w:t>»</w:t>
      </w:r>
    </w:p>
    <w:p w14:paraId="20E909DE" w14:textId="77777777" w:rsidR="00172AAE" w:rsidRPr="00284D75" w:rsidRDefault="00172AAE" w:rsidP="00172AA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b/>
          <w:bCs/>
          <w:kern w:val="32"/>
        </w:rPr>
      </w:pPr>
      <w:r w:rsidRPr="00284D75">
        <w:rPr>
          <w:b/>
          <w:bCs/>
          <w:kern w:val="32"/>
        </w:rPr>
        <w:t xml:space="preserve"> Предмет договора.</w:t>
      </w:r>
    </w:p>
    <w:p w14:paraId="272C43B8" w14:textId="77777777" w:rsidR="00172AAE" w:rsidRPr="00284D75" w:rsidRDefault="00172AAE" w:rsidP="00172AAE">
      <w:pPr>
        <w:ind w:firstLine="709"/>
        <w:jc w:val="both"/>
      </w:pPr>
      <w:r w:rsidRPr="00284D75">
        <w:t>Наименование, объем, технические характеристики, функциональные характеристики (потребительские свойства) и количество Продукции указаны в Приложении №1 к Техническому заданию (далее – ТЗ).</w:t>
      </w:r>
    </w:p>
    <w:p w14:paraId="682EBAEA" w14:textId="77777777" w:rsidR="00172AAE" w:rsidRPr="00284D75" w:rsidRDefault="00172AAE" w:rsidP="00172AAE">
      <w:pPr>
        <w:pStyle w:val="a7"/>
        <w:numPr>
          <w:ilvl w:val="1"/>
          <w:numId w:val="2"/>
        </w:numPr>
        <w:ind w:left="0" w:firstLine="709"/>
        <w:jc w:val="both"/>
      </w:pPr>
      <w:r w:rsidRPr="00670A26">
        <w:t xml:space="preserve">Предложение эквивалентной Продукции </w:t>
      </w:r>
      <w:r>
        <w:t>не допускается.</w:t>
      </w:r>
    </w:p>
    <w:p w14:paraId="63C59160" w14:textId="77777777" w:rsidR="00172AAE" w:rsidRPr="00284D75" w:rsidRDefault="00172AAE" w:rsidP="00172AAE">
      <w:pPr>
        <w:pStyle w:val="a7"/>
        <w:numPr>
          <w:ilvl w:val="1"/>
          <w:numId w:val="2"/>
        </w:numPr>
        <w:ind w:left="0" w:firstLine="709"/>
        <w:jc w:val="both"/>
      </w:pPr>
      <w:r w:rsidRPr="00284D75">
        <w:t>Поставляемая продукция должна быть новой, ранее не использованной, изготовлена в год поставки или предшествующей ему.</w:t>
      </w:r>
    </w:p>
    <w:p w14:paraId="2D66FF12" w14:textId="77777777" w:rsidR="00172AAE" w:rsidRPr="00284D75" w:rsidRDefault="00172AAE" w:rsidP="00172AAE">
      <w:pPr>
        <w:pStyle w:val="a7"/>
        <w:numPr>
          <w:ilvl w:val="1"/>
          <w:numId w:val="2"/>
        </w:numPr>
        <w:ind w:left="0" w:firstLine="709"/>
        <w:jc w:val="both"/>
      </w:pPr>
      <w:r w:rsidRPr="00284D75">
        <w:t>Гарантийный срок на Продукцию, включая все её составляющие, должен быть не менее гарантийного срока, указанного в паспорте завода изготовителя и составлять не менее 12 месяцев с даты подписания ТОРГ-12 или УПД. В случае если гарантийный срок, указанный с технической документации изготовителя более обозначенного срока, то Поставщик/участник обязан подтвердить срок гарантии, указанный в технической документации изготовителя.</w:t>
      </w:r>
    </w:p>
    <w:p w14:paraId="63541E4B" w14:textId="77777777" w:rsidR="00172AAE" w:rsidRPr="00284D75" w:rsidRDefault="00172AAE" w:rsidP="00172AAE">
      <w:pPr>
        <w:pStyle w:val="a7"/>
        <w:numPr>
          <w:ilvl w:val="1"/>
          <w:numId w:val="2"/>
        </w:numPr>
        <w:ind w:left="0" w:firstLine="709"/>
      </w:pPr>
      <w:r w:rsidRPr="00284D75">
        <w:t>Условия оплаты: согласно Договору.</w:t>
      </w:r>
    </w:p>
    <w:p w14:paraId="2D1B0B66" w14:textId="77777777" w:rsidR="00172AAE" w:rsidRPr="00284D75" w:rsidRDefault="00172AAE" w:rsidP="00172AA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b/>
          <w:bCs/>
          <w:kern w:val="32"/>
        </w:rPr>
      </w:pPr>
      <w:r w:rsidRPr="00284D75">
        <w:rPr>
          <w:b/>
          <w:bCs/>
          <w:kern w:val="32"/>
        </w:rPr>
        <w:t>Требования, предъявляемые к поставке Товара.</w:t>
      </w:r>
    </w:p>
    <w:p w14:paraId="01910DF8" w14:textId="77777777" w:rsidR="00172AAE" w:rsidRPr="00C84E1A" w:rsidRDefault="00172AAE" w:rsidP="00172AAE">
      <w:pPr>
        <w:pStyle w:val="a7"/>
        <w:numPr>
          <w:ilvl w:val="1"/>
          <w:numId w:val="1"/>
        </w:numPr>
        <w:ind w:left="-142" w:firstLine="851"/>
        <w:jc w:val="both"/>
        <w:rPr>
          <w:bCs/>
          <w:kern w:val="32"/>
        </w:rPr>
      </w:pPr>
      <w:r w:rsidRPr="00C84E1A">
        <w:rPr>
          <w:bCs/>
          <w:kern w:val="32"/>
        </w:rPr>
        <w:t>Место поставки: склад По</w:t>
      </w:r>
      <w:r>
        <w:rPr>
          <w:bCs/>
          <w:kern w:val="32"/>
        </w:rPr>
        <w:t>купателя</w:t>
      </w:r>
      <w:r w:rsidRPr="00C84E1A">
        <w:rPr>
          <w:bCs/>
          <w:kern w:val="32"/>
        </w:rPr>
        <w:t xml:space="preserve"> по адресу Орловская область, г. Орёл</w:t>
      </w:r>
      <w:r>
        <w:rPr>
          <w:bCs/>
          <w:kern w:val="32"/>
        </w:rPr>
        <w:t>, ул. Авиационная, д.1</w:t>
      </w:r>
    </w:p>
    <w:p w14:paraId="34D18244" w14:textId="77777777" w:rsidR="00172AAE" w:rsidRPr="005A2D1F" w:rsidRDefault="00172AAE" w:rsidP="00172AAE">
      <w:pPr>
        <w:pStyle w:val="a7"/>
        <w:numPr>
          <w:ilvl w:val="1"/>
          <w:numId w:val="1"/>
        </w:numPr>
        <w:ind w:left="-142" w:firstLine="851"/>
        <w:jc w:val="both"/>
        <w:rPr>
          <w:bCs/>
          <w:kern w:val="32"/>
        </w:rPr>
      </w:pPr>
      <w:r w:rsidRPr="005A2D1F">
        <w:rPr>
          <w:bCs/>
          <w:kern w:val="32"/>
        </w:rPr>
        <w:t>Базис поставки: Стоимость Товара включает в себя стоимость упаковки, маркировки, налоги, сборы, погрузку Товара, и иные затраты Поставщика. Поставка осуществляется автомобильным транспортом за счет средств Поставщика.</w:t>
      </w:r>
    </w:p>
    <w:p w14:paraId="647F33C2" w14:textId="77777777" w:rsidR="00172AAE" w:rsidRPr="005A2D1F" w:rsidRDefault="00172AAE" w:rsidP="00172AAE">
      <w:pPr>
        <w:pStyle w:val="a7"/>
        <w:numPr>
          <w:ilvl w:val="1"/>
          <w:numId w:val="1"/>
        </w:numPr>
        <w:ind w:left="-142" w:firstLine="851"/>
        <w:jc w:val="both"/>
        <w:rPr>
          <w:bCs/>
          <w:kern w:val="32"/>
        </w:rPr>
      </w:pPr>
      <w:r w:rsidRPr="005A2D1F">
        <w:rPr>
          <w:bCs/>
          <w:kern w:val="32"/>
        </w:rPr>
        <w:t>Срок поставки:</w:t>
      </w:r>
    </w:p>
    <w:p w14:paraId="7EF182A3" w14:textId="77777777" w:rsidR="00172AAE" w:rsidRPr="00C84E1A" w:rsidRDefault="00172AAE" w:rsidP="00172AAE">
      <w:pPr>
        <w:pStyle w:val="a7"/>
        <w:ind w:left="-142" w:firstLine="851"/>
        <w:jc w:val="both"/>
        <w:rPr>
          <w:bCs/>
          <w:kern w:val="32"/>
        </w:rPr>
      </w:pPr>
      <w:r w:rsidRPr="00C84E1A">
        <w:rPr>
          <w:bCs/>
          <w:kern w:val="32"/>
        </w:rPr>
        <w:t xml:space="preserve">Начало поставки – с даты заключения договора, </w:t>
      </w:r>
    </w:p>
    <w:p w14:paraId="122D919E" w14:textId="77777777" w:rsidR="00172AAE" w:rsidRPr="00C84E1A" w:rsidRDefault="00172AAE" w:rsidP="00172AAE">
      <w:pPr>
        <w:pStyle w:val="a7"/>
        <w:ind w:left="-142" w:firstLine="851"/>
        <w:jc w:val="both"/>
        <w:rPr>
          <w:bCs/>
          <w:kern w:val="32"/>
        </w:rPr>
      </w:pPr>
      <w:r w:rsidRPr="00C84E1A">
        <w:rPr>
          <w:bCs/>
          <w:kern w:val="32"/>
        </w:rPr>
        <w:t xml:space="preserve">Окончание </w:t>
      </w:r>
      <w:r w:rsidRPr="005A2D1F">
        <w:rPr>
          <w:bCs/>
          <w:kern w:val="32"/>
        </w:rPr>
        <w:t xml:space="preserve">поставки – </w:t>
      </w:r>
      <w:r>
        <w:rPr>
          <w:bCs/>
          <w:kern w:val="32"/>
        </w:rPr>
        <w:t>20</w:t>
      </w:r>
      <w:r w:rsidRPr="005A2D1F">
        <w:rPr>
          <w:bCs/>
          <w:kern w:val="32"/>
        </w:rPr>
        <w:t>.0</w:t>
      </w:r>
      <w:r w:rsidRPr="00CF2F31">
        <w:rPr>
          <w:bCs/>
          <w:kern w:val="32"/>
        </w:rPr>
        <w:t>6</w:t>
      </w:r>
      <w:r w:rsidRPr="005A2D1F">
        <w:rPr>
          <w:bCs/>
          <w:kern w:val="32"/>
        </w:rPr>
        <w:t>.202</w:t>
      </w:r>
      <w:r>
        <w:rPr>
          <w:bCs/>
          <w:kern w:val="32"/>
        </w:rPr>
        <w:t>5</w:t>
      </w:r>
      <w:r w:rsidRPr="00CF2F31">
        <w:rPr>
          <w:bCs/>
          <w:kern w:val="32"/>
        </w:rPr>
        <w:t xml:space="preserve"> </w:t>
      </w:r>
      <w:r w:rsidRPr="005A2D1F">
        <w:rPr>
          <w:bCs/>
          <w:kern w:val="32"/>
        </w:rPr>
        <w:t>г.</w:t>
      </w:r>
    </w:p>
    <w:p w14:paraId="79380B2C" w14:textId="77777777" w:rsidR="00172AAE" w:rsidRPr="00284D75" w:rsidRDefault="00172AAE" w:rsidP="00172AA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b/>
          <w:bCs/>
          <w:kern w:val="32"/>
        </w:rPr>
      </w:pPr>
      <w:r w:rsidRPr="00284D75">
        <w:rPr>
          <w:b/>
          <w:bCs/>
          <w:kern w:val="32"/>
        </w:rPr>
        <w:t>Технические требования к Товару и к условиям поставки.</w:t>
      </w:r>
    </w:p>
    <w:p w14:paraId="7611A0B3" w14:textId="77777777" w:rsidR="00172AAE" w:rsidRPr="00284D75" w:rsidRDefault="00172AAE" w:rsidP="00172AAE">
      <w:pPr>
        <w:pStyle w:val="a7"/>
        <w:numPr>
          <w:ilvl w:val="2"/>
          <w:numId w:val="1"/>
        </w:numPr>
        <w:ind w:left="0" w:firstLine="709"/>
        <w:jc w:val="both"/>
        <w:rPr>
          <w:rFonts w:eastAsia="Mincho"/>
          <w:lang w:eastAsia="zh-CN"/>
        </w:rPr>
      </w:pPr>
      <w:r w:rsidRPr="00284D75">
        <w:rPr>
          <w:rFonts w:eastAsia="Mincho"/>
          <w:lang w:eastAsia="zh-CN"/>
        </w:rPr>
        <w:t>Товар должен соответствовать условиям Договора, ГОСТ и ТУ, а также иным обязательным требованиям на данный вид Товара, установленным в Российской Федерации.</w:t>
      </w:r>
    </w:p>
    <w:p w14:paraId="1D4EEDD6" w14:textId="77777777" w:rsidR="00172AAE" w:rsidRPr="00284D75" w:rsidRDefault="00172AAE" w:rsidP="00172AAE">
      <w:pPr>
        <w:pStyle w:val="a7"/>
        <w:numPr>
          <w:ilvl w:val="2"/>
          <w:numId w:val="1"/>
        </w:numPr>
        <w:ind w:left="0" w:firstLine="709"/>
        <w:jc w:val="both"/>
        <w:rPr>
          <w:rFonts w:eastAsia="Mincho"/>
          <w:lang w:eastAsia="zh-CN"/>
        </w:rPr>
      </w:pPr>
      <w:r w:rsidRPr="00284D75">
        <w:rPr>
          <w:rFonts w:eastAsia="Mincho"/>
          <w:lang w:eastAsia="zh-CN"/>
        </w:rPr>
        <w:t>Продукция должна поставляться в таре и упаковке завода-изготовителя, обеспечивающей сохранность (неизменность первоначальных свойств) при погрузке, возможность безопасной строповки при разгрузке, исключать воздействие атмосферных осадков при транспортировке и т.п.</w:t>
      </w:r>
    </w:p>
    <w:p w14:paraId="7806F97D" w14:textId="77777777" w:rsidR="00172AAE" w:rsidRPr="00284D75" w:rsidRDefault="00172AAE" w:rsidP="00172AAE">
      <w:pPr>
        <w:pStyle w:val="a7"/>
        <w:numPr>
          <w:ilvl w:val="2"/>
          <w:numId w:val="1"/>
        </w:numPr>
        <w:ind w:left="0" w:firstLine="709"/>
        <w:jc w:val="both"/>
        <w:rPr>
          <w:rFonts w:eastAsia="Mincho"/>
          <w:lang w:eastAsia="zh-CN"/>
        </w:rPr>
      </w:pPr>
      <w:r w:rsidRPr="00284D75">
        <w:rPr>
          <w:rFonts w:eastAsia="Mincho"/>
          <w:lang w:eastAsia="zh-CN"/>
        </w:rPr>
        <w:t>Упаковка и маркировка Товара должны соответствовать техническим условиям на данный Товар.</w:t>
      </w:r>
    </w:p>
    <w:p w14:paraId="3E9E2CF1" w14:textId="77777777" w:rsidR="00172AAE" w:rsidRPr="00284D75" w:rsidRDefault="00172AAE" w:rsidP="00172AAE">
      <w:pPr>
        <w:pStyle w:val="a7"/>
        <w:numPr>
          <w:ilvl w:val="1"/>
          <w:numId w:val="1"/>
        </w:numPr>
        <w:ind w:left="0" w:firstLine="709"/>
        <w:jc w:val="both"/>
        <w:rPr>
          <w:color w:val="000000"/>
        </w:rPr>
      </w:pPr>
      <w:r w:rsidRPr="00284D75">
        <w:rPr>
          <w:color w:val="000000"/>
        </w:rPr>
        <w:t>Поставщик обязан одновременно с передачей Товара передать Покупателю (грузополучателю) относящиеся к нему документы, оформленные надлежащим образом:</w:t>
      </w:r>
    </w:p>
    <w:p w14:paraId="552EEF31" w14:textId="77777777" w:rsidR="00172AAE" w:rsidRPr="00284D75" w:rsidRDefault="00172AAE" w:rsidP="00172AAE">
      <w:pPr>
        <w:numPr>
          <w:ilvl w:val="0"/>
          <w:numId w:val="3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</w:rPr>
      </w:pPr>
      <w:r w:rsidRPr="00284D75">
        <w:rPr>
          <w:color w:val="000000"/>
        </w:rPr>
        <w:t>сертификат соответствия, пожарной безопасности и взрывобезопасности (для Товара, подлежащего обязательной сертификации);</w:t>
      </w:r>
    </w:p>
    <w:p w14:paraId="049B1C3F" w14:textId="77777777" w:rsidR="00172AAE" w:rsidRPr="00284D75" w:rsidRDefault="00172AAE" w:rsidP="00172AAE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84D75">
        <w:rPr>
          <w:color w:val="000000"/>
        </w:rPr>
        <w:t>разрешительные документы, наличие которых на указанный Товар обусловливается требованиями действующего законодательства Российской Федерации (Разрешение на применение Ростехнадзора, Сертификат соответствия Росстандарта, Санитарно-эпидемиологическое заключение, Свидетельства радиационной и пожарной безопасности и т.п.);</w:t>
      </w:r>
    </w:p>
    <w:p w14:paraId="4D975083" w14:textId="77777777" w:rsidR="00172AAE" w:rsidRPr="00284D75" w:rsidRDefault="00172AAE" w:rsidP="00172AAE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84D75">
        <w:rPr>
          <w:color w:val="000000"/>
        </w:rPr>
        <w:t xml:space="preserve">в зависимости от технологической и технической сложности поставляемого изделия, один из видов сопроводительных эксплуатационных документов: руководство по </w:t>
      </w:r>
      <w:r w:rsidRPr="00284D75">
        <w:rPr>
          <w:color w:val="000000"/>
        </w:rPr>
        <w:lastRenderedPageBreak/>
        <w:t>эксплуатации, формуляр, паспорт, этикетку или иную конструкторскую документацию, если наличие такой документации на поставляемый Товар предусмотрено требованиями указанных государственных стандартов;</w:t>
      </w:r>
    </w:p>
    <w:p w14:paraId="40F89133" w14:textId="77777777" w:rsidR="00172AAE" w:rsidRPr="00284D75" w:rsidRDefault="00172AAE" w:rsidP="00172AAE">
      <w:pPr>
        <w:numPr>
          <w:ilvl w:val="0"/>
          <w:numId w:val="3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</w:rPr>
      </w:pPr>
      <w:r w:rsidRPr="00284D75">
        <w:rPr>
          <w:color w:val="000000"/>
        </w:rPr>
        <w:t>паспорт (сертификат) качества;</w:t>
      </w:r>
    </w:p>
    <w:p w14:paraId="1AE722AD" w14:textId="77777777" w:rsidR="00172AAE" w:rsidRPr="00284D75" w:rsidRDefault="00172AAE" w:rsidP="00172AAE">
      <w:pPr>
        <w:numPr>
          <w:ilvl w:val="0"/>
          <w:numId w:val="3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</w:rPr>
      </w:pPr>
      <w:r w:rsidRPr="00284D75">
        <w:rPr>
          <w:color w:val="000000"/>
        </w:rPr>
        <w:t>упаковочный лист на каждую партию отгруженного Товара;</w:t>
      </w:r>
    </w:p>
    <w:p w14:paraId="302A15D3" w14:textId="77777777" w:rsidR="00172AAE" w:rsidRPr="00284D75" w:rsidRDefault="00172AAE" w:rsidP="00172AAE">
      <w:pPr>
        <w:numPr>
          <w:ilvl w:val="0"/>
          <w:numId w:val="3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</w:rPr>
      </w:pPr>
      <w:r w:rsidRPr="00284D75">
        <w:rPr>
          <w:color w:val="000000"/>
        </w:rPr>
        <w:t>накладная по форме ТОРГ-12 (в случае доставки Товара перевозчиком Поставщик указывает в накладной реквизиты транспортной накладной, подтверждающей факт передачи Товара первому перевозчику) или УПД;</w:t>
      </w:r>
    </w:p>
    <w:p w14:paraId="5994045C" w14:textId="77777777" w:rsidR="00172AAE" w:rsidRPr="00284D75" w:rsidRDefault="00172AAE" w:rsidP="00172AAE">
      <w:pPr>
        <w:numPr>
          <w:ilvl w:val="0"/>
          <w:numId w:val="3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</w:rPr>
      </w:pPr>
      <w:r w:rsidRPr="00284D75">
        <w:rPr>
          <w:color w:val="000000"/>
        </w:rPr>
        <w:t>товарно-транспортная накладная по форме 1-Т и транспортная накладная, ж/д накладная и т.п.);</w:t>
      </w:r>
    </w:p>
    <w:p w14:paraId="1E782CEB" w14:textId="77777777" w:rsidR="00172AAE" w:rsidRPr="00284D75" w:rsidRDefault="00172AAE" w:rsidP="00172AAE">
      <w:pPr>
        <w:numPr>
          <w:ilvl w:val="0"/>
          <w:numId w:val="3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</w:rPr>
      </w:pPr>
      <w:r w:rsidRPr="00284D75">
        <w:rPr>
          <w:color w:val="000000"/>
        </w:rPr>
        <w:t>иные документы, относящиеся к Товару и необходимые для его эксплуатации (сертификат качества и т.п.).</w:t>
      </w:r>
    </w:p>
    <w:p w14:paraId="035FF1A4" w14:textId="77777777" w:rsidR="00172AAE" w:rsidRPr="00284D75" w:rsidRDefault="00172AAE" w:rsidP="00172AAE">
      <w:pPr>
        <w:pStyle w:val="a7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284D75">
        <w:rPr>
          <w:color w:val="000000"/>
        </w:rPr>
        <w:t xml:space="preserve"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</w:t>
      </w:r>
    </w:p>
    <w:p w14:paraId="12C5D1E2" w14:textId="77777777" w:rsidR="00172AAE" w:rsidRPr="00284D75" w:rsidRDefault="00172AAE" w:rsidP="00172AAE">
      <w:pPr>
        <w:pStyle w:val="a7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284D75">
        <w:rPr>
          <w:color w:val="000000"/>
        </w:rPr>
        <w:t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Приемка Товара по количеству и качеству производится Покупателем (грузополучателем) в соответствии с Регламентом организации и проведения входного контроля материально-технических ресурсов, поступающих на объекты АО «</w:t>
      </w:r>
      <w:proofErr w:type="spellStart"/>
      <w:r w:rsidRPr="00284D75">
        <w:rPr>
          <w:color w:val="000000"/>
        </w:rPr>
        <w:t>Орелгортеплоэнерго</w:t>
      </w:r>
      <w:proofErr w:type="spellEnd"/>
      <w:r w:rsidRPr="00284D75">
        <w:rPr>
          <w:color w:val="000000"/>
        </w:rPr>
        <w:t>» и ГОСТ 15467-79 «Управление качеством продукции. Основные понятия. Термины и определения».</w:t>
      </w:r>
    </w:p>
    <w:p w14:paraId="4A119282" w14:textId="77777777" w:rsidR="00172AAE" w:rsidRPr="00284D75" w:rsidRDefault="00172AAE" w:rsidP="00172AAE">
      <w:pPr>
        <w:pStyle w:val="a7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284D75">
        <w:rPr>
          <w:color w:val="000000"/>
        </w:rPr>
        <w:t>Документация, предоставляемая с Продукцией, должна быть оформлена на русском языке. Если Продукция является импортной, то необходимо предоставить заверенные печатью и подписью уполномоченного лица перевод на русский язык документов, относящихся к Продукции.</w:t>
      </w:r>
    </w:p>
    <w:p w14:paraId="1F2E630A" w14:textId="77777777" w:rsidR="00172AAE" w:rsidRPr="003304A2" w:rsidRDefault="00172AAE" w:rsidP="00172AAE">
      <w:pPr>
        <w:pStyle w:val="a7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3304A2">
        <w:rPr>
          <w:b/>
        </w:rPr>
        <w:t>Требования, предъявляемые к Участникам (критерии рассмотрения заявок участников)</w:t>
      </w:r>
    </w:p>
    <w:p w14:paraId="519A39FE" w14:textId="77777777" w:rsidR="00172AAE" w:rsidRPr="00284D75" w:rsidRDefault="00172AAE" w:rsidP="00172AAE">
      <w:pPr>
        <w:pStyle w:val="a7"/>
        <w:numPr>
          <w:ilvl w:val="1"/>
          <w:numId w:val="1"/>
        </w:numPr>
        <w:ind w:left="0" w:firstLine="709"/>
        <w:jc w:val="both"/>
        <w:rPr>
          <w:b/>
        </w:rPr>
      </w:pPr>
      <w:bookmarkStart w:id="0" w:name="_Hlk68677034"/>
      <w:r w:rsidRPr="00284D75">
        <w:t xml:space="preserve">Участник конкурентной закупки должен иметь опыт поставки (осуществления) за последние три года, предшествующие дате окончания срока подачи заявок на участие в конкурентной закупке, продукции аналогичной предмету закупки, а именно: поставка </w:t>
      </w:r>
      <w:r w:rsidRPr="0041152F">
        <w:t>кислот</w:t>
      </w:r>
      <w:r>
        <w:t>ы</w:t>
      </w:r>
      <w:r w:rsidRPr="0041152F">
        <w:t>.</w:t>
      </w:r>
      <w:r w:rsidRPr="00284D75">
        <w:t xml:space="preserve"> Подтверждается представлением Справки об опыте поставки аналогичной продукции по установленной в закупочной документации форме.</w:t>
      </w:r>
    </w:p>
    <w:bookmarkEnd w:id="0"/>
    <w:p w14:paraId="24AFAA6E" w14:textId="77777777" w:rsidR="00172AAE" w:rsidRPr="00284D75" w:rsidRDefault="00172AAE" w:rsidP="00172AAE">
      <w:pPr>
        <w:pStyle w:val="a7"/>
        <w:numPr>
          <w:ilvl w:val="1"/>
          <w:numId w:val="1"/>
        </w:numPr>
        <w:ind w:left="0" w:firstLine="709"/>
        <w:jc w:val="both"/>
      </w:pPr>
      <w:r w:rsidRPr="00284D75">
        <w:t>Оценка заявок осуществляется в соответствии с порядком, предусмотренным порядком оценки Заявок Участника, являющейся приложением к Документации.</w:t>
      </w:r>
    </w:p>
    <w:p w14:paraId="0229F9AF" w14:textId="77777777" w:rsidR="00172AAE" w:rsidRPr="00284D75" w:rsidRDefault="00172AAE" w:rsidP="00172AAE">
      <w:pPr>
        <w:ind w:firstLine="709"/>
        <w:jc w:val="both"/>
      </w:pPr>
    </w:p>
    <w:p w14:paraId="1F5C5923" w14:textId="77777777" w:rsidR="00172AAE" w:rsidRPr="00284D75" w:rsidRDefault="00172AAE" w:rsidP="00172AAE">
      <w:pPr>
        <w:ind w:firstLine="709"/>
        <w:jc w:val="both"/>
      </w:pPr>
      <w:r w:rsidRPr="00284D75">
        <w:t>Приложения:</w:t>
      </w:r>
    </w:p>
    <w:p w14:paraId="34D44DCA" w14:textId="77777777" w:rsidR="00172AAE" w:rsidRPr="00284D75" w:rsidRDefault="00172AAE" w:rsidP="00172AAE">
      <w:pPr>
        <w:pStyle w:val="a7"/>
        <w:numPr>
          <w:ilvl w:val="0"/>
          <w:numId w:val="4"/>
        </w:numPr>
        <w:ind w:left="0" w:firstLine="709"/>
        <w:jc w:val="both"/>
      </w:pPr>
      <w:r w:rsidRPr="00284D75">
        <w:t>Ведомость планируемых поставок на 1 л. в 1 экз.;</w:t>
      </w:r>
    </w:p>
    <w:p w14:paraId="4FB90018" w14:textId="77777777" w:rsidR="00172AAE" w:rsidRDefault="00172AAE" w:rsidP="00172AAE">
      <w:pPr>
        <w:ind w:firstLine="709"/>
        <w:jc w:val="both"/>
      </w:pPr>
    </w:p>
    <w:p w14:paraId="07457E07" w14:textId="77777777" w:rsidR="00172AAE" w:rsidRDefault="00172AAE" w:rsidP="00172AAE">
      <w:pPr>
        <w:ind w:firstLine="709"/>
        <w:jc w:val="both"/>
      </w:pPr>
    </w:p>
    <w:p w14:paraId="100075D6" w14:textId="77777777" w:rsidR="00172AAE" w:rsidRDefault="00172AAE" w:rsidP="00172AAE">
      <w:pPr>
        <w:ind w:firstLine="709"/>
        <w:jc w:val="both"/>
      </w:pPr>
    </w:p>
    <w:tbl>
      <w:tblPr>
        <w:tblW w:w="9388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4002"/>
        <w:gridCol w:w="5386"/>
      </w:tblGrid>
      <w:tr w:rsidR="00172AAE" w:rsidRPr="005531E2" w14:paraId="3F50DA8B" w14:textId="77777777" w:rsidTr="00BD27FA">
        <w:trPr>
          <w:trHeight w:val="1202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14:paraId="44A7A9BC" w14:textId="1E234232" w:rsidR="00172AAE" w:rsidRPr="002C48CF" w:rsidRDefault="00172AAE" w:rsidP="00BD27FA">
            <w:pPr>
              <w:rPr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80BFF60" w14:textId="70B9ACB3" w:rsidR="00172AAE" w:rsidRPr="000034EC" w:rsidRDefault="00172AAE" w:rsidP="00BD27FA">
            <w:pPr>
              <w:ind w:left="1416"/>
              <w:rPr>
                <w:b/>
                <w:bCs/>
              </w:rPr>
            </w:pPr>
          </w:p>
        </w:tc>
      </w:tr>
    </w:tbl>
    <w:p w14:paraId="1BDCEA14" w14:textId="77777777" w:rsidR="00172AAE" w:rsidRDefault="00172AAE" w:rsidP="00172AAE">
      <w:pPr>
        <w:rPr>
          <w:b/>
          <w:bCs/>
        </w:rPr>
      </w:pPr>
    </w:p>
    <w:p w14:paraId="050CC41B" w14:textId="77777777" w:rsidR="00172AAE" w:rsidRDefault="00172AAE" w:rsidP="00172AAE">
      <w:pPr>
        <w:ind w:firstLine="709"/>
        <w:jc w:val="right"/>
      </w:pPr>
    </w:p>
    <w:p w14:paraId="55CBF42F" w14:textId="77777777" w:rsidR="00172AAE" w:rsidRDefault="00172AAE" w:rsidP="00172AAE">
      <w:pPr>
        <w:ind w:firstLine="709"/>
        <w:jc w:val="right"/>
      </w:pPr>
    </w:p>
    <w:p w14:paraId="0C6387A5" w14:textId="77777777" w:rsidR="00172AAE" w:rsidRDefault="00172AAE" w:rsidP="00172AAE">
      <w:pPr>
        <w:ind w:firstLine="709"/>
        <w:jc w:val="right"/>
      </w:pPr>
    </w:p>
    <w:p w14:paraId="61576CE0" w14:textId="77777777" w:rsidR="00172AAE" w:rsidRDefault="00172AAE" w:rsidP="00172AAE">
      <w:pPr>
        <w:ind w:firstLine="709"/>
        <w:jc w:val="right"/>
      </w:pPr>
    </w:p>
    <w:p w14:paraId="71F8C675" w14:textId="77777777" w:rsidR="00172AAE" w:rsidRDefault="00172AAE" w:rsidP="00172AAE">
      <w:pPr>
        <w:ind w:firstLine="709"/>
        <w:jc w:val="right"/>
      </w:pPr>
    </w:p>
    <w:p w14:paraId="68EBF4B3" w14:textId="77777777" w:rsidR="00172AAE" w:rsidRDefault="00172AAE" w:rsidP="00172AAE">
      <w:pPr>
        <w:ind w:firstLine="709"/>
        <w:jc w:val="right"/>
      </w:pPr>
    </w:p>
    <w:p w14:paraId="01BBEA51" w14:textId="77777777" w:rsidR="00172AAE" w:rsidRDefault="00172AAE" w:rsidP="00172AAE">
      <w:pPr>
        <w:ind w:firstLine="709"/>
        <w:jc w:val="right"/>
      </w:pPr>
    </w:p>
    <w:p w14:paraId="521A9E05" w14:textId="77777777" w:rsidR="00172AAE" w:rsidRDefault="00172AAE" w:rsidP="00172AAE">
      <w:pPr>
        <w:ind w:firstLine="709"/>
        <w:jc w:val="right"/>
      </w:pPr>
    </w:p>
    <w:p w14:paraId="77049769" w14:textId="77777777" w:rsidR="00172AAE" w:rsidRDefault="00172AAE" w:rsidP="00172AAE">
      <w:pPr>
        <w:ind w:firstLine="709"/>
        <w:jc w:val="right"/>
      </w:pPr>
    </w:p>
    <w:p w14:paraId="36BBEC30" w14:textId="77777777" w:rsidR="00172AAE" w:rsidRDefault="00172AAE" w:rsidP="00172AAE">
      <w:pPr>
        <w:ind w:firstLine="709"/>
        <w:jc w:val="right"/>
      </w:pPr>
    </w:p>
    <w:p w14:paraId="6FE264B9" w14:textId="06319208" w:rsidR="00172AAE" w:rsidRDefault="00172AAE" w:rsidP="00172AAE">
      <w:pPr>
        <w:ind w:firstLine="709"/>
        <w:jc w:val="right"/>
      </w:pPr>
      <w:r>
        <w:t>Приложение №1 к Техническому заданию</w:t>
      </w:r>
    </w:p>
    <w:p w14:paraId="5B3EEE8A" w14:textId="77777777" w:rsidR="00172AAE" w:rsidRDefault="00172AAE" w:rsidP="00172AAE">
      <w:pPr>
        <w:ind w:firstLine="709"/>
        <w:jc w:val="right"/>
      </w:pPr>
      <w:r>
        <w:t>на поставку кислоты</w:t>
      </w:r>
    </w:p>
    <w:p w14:paraId="1851FC2D" w14:textId="77777777" w:rsidR="00172AAE" w:rsidRPr="00ED701C" w:rsidRDefault="00172AAE" w:rsidP="00172AAE">
      <w:pPr>
        <w:ind w:firstLine="709"/>
        <w:jc w:val="center"/>
        <w:rPr>
          <w:b/>
          <w:bCs/>
        </w:rPr>
      </w:pPr>
    </w:p>
    <w:p w14:paraId="1C440E3C" w14:textId="77777777" w:rsidR="00172AAE" w:rsidRPr="00ED701C" w:rsidRDefault="00172AAE" w:rsidP="00172AAE">
      <w:pPr>
        <w:ind w:firstLine="709"/>
        <w:jc w:val="center"/>
        <w:rPr>
          <w:b/>
          <w:bCs/>
        </w:rPr>
      </w:pPr>
      <w:r w:rsidRPr="00ED701C">
        <w:rPr>
          <w:b/>
          <w:bCs/>
        </w:rPr>
        <w:t>Ведомость планируемых поставок</w:t>
      </w:r>
    </w:p>
    <w:p w14:paraId="79E2DD00" w14:textId="77777777" w:rsidR="00172AAE" w:rsidRDefault="00172AAE" w:rsidP="00172AAE">
      <w:pPr>
        <w:ind w:firstLine="709"/>
        <w:jc w:val="right"/>
      </w:pPr>
    </w:p>
    <w:tbl>
      <w:tblPr>
        <w:tblW w:w="9596" w:type="dxa"/>
        <w:tblInd w:w="-5" w:type="dxa"/>
        <w:tblLook w:val="04A0" w:firstRow="1" w:lastRow="0" w:firstColumn="1" w:lastColumn="0" w:noHBand="0" w:noVBand="1"/>
      </w:tblPr>
      <w:tblGrid>
        <w:gridCol w:w="118"/>
        <w:gridCol w:w="3553"/>
        <w:gridCol w:w="331"/>
        <w:gridCol w:w="958"/>
        <w:gridCol w:w="1310"/>
        <w:gridCol w:w="2893"/>
        <w:gridCol w:w="225"/>
        <w:gridCol w:w="208"/>
      </w:tblGrid>
      <w:tr w:rsidR="00172AAE" w:rsidRPr="00634FAB" w14:paraId="7A17636A" w14:textId="77777777" w:rsidTr="00BD27FA">
        <w:trPr>
          <w:gridBefore w:val="1"/>
          <w:gridAfter w:val="2"/>
          <w:wBefore w:w="118" w:type="dxa"/>
          <w:wAfter w:w="433" w:type="dxa"/>
          <w:trHeight w:val="458"/>
        </w:trPr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349A" w14:textId="77777777" w:rsidR="00172AAE" w:rsidRPr="00634FAB" w:rsidRDefault="00172AAE" w:rsidP="00BD27FA">
            <w:pPr>
              <w:jc w:val="center"/>
              <w:rPr>
                <w:color w:val="000000"/>
              </w:rPr>
            </w:pPr>
            <w:r w:rsidRPr="00634FAB">
              <w:rPr>
                <w:color w:val="000000"/>
              </w:rPr>
              <w:t>Наименование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A520" w14:textId="77777777" w:rsidR="00172AAE" w:rsidRPr="00634FAB" w:rsidRDefault="00172AAE" w:rsidP="00BD27FA">
            <w:pPr>
              <w:jc w:val="center"/>
              <w:rPr>
                <w:color w:val="000000"/>
              </w:rPr>
            </w:pPr>
            <w:r w:rsidRPr="00634FAB">
              <w:rPr>
                <w:color w:val="000000"/>
              </w:rPr>
              <w:t>Ед. изм.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AAC6" w14:textId="77777777" w:rsidR="00172AAE" w:rsidRPr="00634FAB" w:rsidRDefault="00172AAE" w:rsidP="00BD27FA">
            <w:pPr>
              <w:jc w:val="center"/>
              <w:rPr>
                <w:color w:val="000000"/>
              </w:rPr>
            </w:pPr>
            <w:r w:rsidRPr="00634FAB">
              <w:rPr>
                <w:color w:val="000000"/>
              </w:rPr>
              <w:t>Кол-во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2200" w14:textId="77777777" w:rsidR="00172AAE" w:rsidRPr="00634FAB" w:rsidRDefault="00172AAE" w:rsidP="00BD27FA">
            <w:pPr>
              <w:jc w:val="center"/>
            </w:pPr>
            <w:r w:rsidRPr="00634FAB">
              <w:t>Возможность применения эквивалентной продукции (Да/нет)</w:t>
            </w:r>
          </w:p>
        </w:tc>
      </w:tr>
      <w:tr w:rsidR="00172AAE" w:rsidRPr="00634FAB" w14:paraId="1C1B17B6" w14:textId="77777777" w:rsidTr="00BD27FA">
        <w:trPr>
          <w:gridBefore w:val="1"/>
          <w:wBefore w:w="118" w:type="dxa"/>
          <w:trHeight w:val="299"/>
        </w:trPr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DECE" w14:textId="77777777" w:rsidR="00172AAE" w:rsidRPr="00634FAB" w:rsidRDefault="00172AAE" w:rsidP="00BD27FA">
            <w:pPr>
              <w:rPr>
                <w:color w:val="000000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6412" w14:textId="77777777" w:rsidR="00172AAE" w:rsidRPr="00634FAB" w:rsidRDefault="00172AAE" w:rsidP="00BD27FA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DB49" w14:textId="77777777" w:rsidR="00172AAE" w:rsidRPr="00634FAB" w:rsidRDefault="00172AAE" w:rsidP="00BD27FA">
            <w:pPr>
              <w:rPr>
                <w:color w:val="000000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43B5" w14:textId="77777777" w:rsidR="00172AAE" w:rsidRPr="00634FAB" w:rsidRDefault="00172AAE" w:rsidP="00BD27FA">
            <w:pPr>
              <w:jc w:val="center"/>
              <w:rPr>
                <w:color w:val="000000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3578" w14:textId="77777777" w:rsidR="00172AAE" w:rsidRPr="00634FAB" w:rsidRDefault="00172AAE" w:rsidP="00BD27FA">
            <w:pPr>
              <w:jc w:val="center"/>
              <w:rPr>
                <w:color w:val="000000"/>
              </w:rPr>
            </w:pPr>
          </w:p>
        </w:tc>
      </w:tr>
      <w:tr w:rsidR="00172AAE" w:rsidRPr="00634FAB" w14:paraId="34BE2BB6" w14:textId="77777777" w:rsidTr="00BD27FA">
        <w:trPr>
          <w:gridBefore w:val="1"/>
          <w:wBefore w:w="118" w:type="dxa"/>
          <w:trHeight w:val="299"/>
        </w:trPr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4FCC" w14:textId="77777777" w:rsidR="00172AAE" w:rsidRPr="00634FAB" w:rsidRDefault="00172AAE" w:rsidP="00BD27FA">
            <w:pPr>
              <w:rPr>
                <w:color w:val="000000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252B" w14:textId="77777777" w:rsidR="00172AAE" w:rsidRPr="00634FAB" w:rsidRDefault="00172AAE" w:rsidP="00BD27FA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B736" w14:textId="77777777" w:rsidR="00172AAE" w:rsidRPr="00634FAB" w:rsidRDefault="00172AAE" w:rsidP="00BD27FA">
            <w:pPr>
              <w:rPr>
                <w:color w:val="000000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9597" w14:textId="77777777" w:rsidR="00172AAE" w:rsidRPr="00634FAB" w:rsidRDefault="00172AAE" w:rsidP="00BD27FA">
            <w:pPr>
              <w:jc w:val="center"/>
            </w:pPr>
          </w:p>
        </w:tc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AF2E" w14:textId="77777777" w:rsidR="00172AAE" w:rsidRPr="00634FAB" w:rsidRDefault="00172AAE" w:rsidP="00BD27FA"/>
        </w:tc>
      </w:tr>
      <w:tr w:rsidR="00172AAE" w:rsidRPr="00634FAB" w14:paraId="62FD8103" w14:textId="77777777" w:rsidTr="00BD27FA">
        <w:trPr>
          <w:gridBefore w:val="1"/>
          <w:wBefore w:w="118" w:type="dxa"/>
          <w:trHeight w:val="164"/>
        </w:trPr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C133" w14:textId="77777777" w:rsidR="00172AAE" w:rsidRPr="00634FAB" w:rsidRDefault="00172AAE" w:rsidP="00BD27FA">
            <w:pPr>
              <w:rPr>
                <w:color w:val="000000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CACC" w14:textId="77777777" w:rsidR="00172AAE" w:rsidRPr="00634FAB" w:rsidRDefault="00172AAE" w:rsidP="00BD27FA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C4F5" w14:textId="77777777" w:rsidR="00172AAE" w:rsidRPr="00634FAB" w:rsidRDefault="00172AAE" w:rsidP="00BD27FA">
            <w:pPr>
              <w:rPr>
                <w:color w:val="000000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C477" w14:textId="77777777" w:rsidR="00172AAE" w:rsidRPr="00634FAB" w:rsidRDefault="00172AAE" w:rsidP="00BD27FA">
            <w:pPr>
              <w:jc w:val="center"/>
            </w:pPr>
          </w:p>
        </w:tc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04C9" w14:textId="77777777" w:rsidR="00172AAE" w:rsidRPr="00634FAB" w:rsidRDefault="00172AAE" w:rsidP="00BD27FA"/>
        </w:tc>
      </w:tr>
      <w:tr w:rsidR="00172AAE" w:rsidRPr="00634FAB" w14:paraId="36CAB3C5" w14:textId="77777777" w:rsidTr="00BD27FA">
        <w:trPr>
          <w:gridBefore w:val="1"/>
          <w:wBefore w:w="118" w:type="dxa"/>
          <w:trHeight w:val="509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42CE" w14:textId="77777777" w:rsidR="00172AAE" w:rsidRDefault="00172AAE" w:rsidP="00BD27FA">
            <w:pPr>
              <w:rPr>
                <w:color w:val="000000"/>
              </w:rPr>
            </w:pPr>
            <w:r w:rsidRPr="00602C29">
              <w:rPr>
                <w:color w:val="000000"/>
              </w:rPr>
              <w:t>Кислота соляная ингибированная</w:t>
            </w:r>
            <w:r>
              <w:rPr>
                <w:color w:val="000000"/>
              </w:rPr>
              <w:t>, м</w:t>
            </w:r>
            <w:r w:rsidRPr="00602C29">
              <w:rPr>
                <w:color w:val="000000"/>
              </w:rPr>
              <w:t>арка А 28-32% ТУ-2458-526-05763441-2010</w:t>
            </w:r>
          </w:p>
          <w:p w14:paraId="0C4EB633" w14:textId="77777777" w:rsidR="00172AAE" w:rsidRPr="00602C29" w:rsidRDefault="00172AAE" w:rsidP="00BD27FA">
            <w:pPr>
              <w:rPr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8271" w14:textId="77777777" w:rsidR="00172AAE" w:rsidRDefault="00172AAE" w:rsidP="00BD2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0092" w14:textId="77777777" w:rsidR="00172AAE" w:rsidRDefault="00172AAE" w:rsidP="00BD2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79A83" w14:textId="77777777" w:rsidR="00172AAE" w:rsidRPr="000505D3" w:rsidRDefault="00172AAE" w:rsidP="00BD27FA">
            <w:pPr>
              <w:jc w:val="center"/>
            </w:pPr>
            <w:r>
              <w:t>нет</w:t>
            </w:r>
          </w:p>
        </w:tc>
        <w:tc>
          <w:tcPr>
            <w:tcW w:w="433" w:type="dxa"/>
            <w:gridSpan w:val="2"/>
            <w:tcBorders>
              <w:left w:val="single" w:sz="4" w:space="0" w:color="auto"/>
            </w:tcBorders>
            <w:vAlign w:val="center"/>
          </w:tcPr>
          <w:p w14:paraId="721F5347" w14:textId="77777777" w:rsidR="00172AAE" w:rsidRPr="00634FAB" w:rsidRDefault="00172AAE" w:rsidP="00BD27FA"/>
        </w:tc>
      </w:tr>
      <w:tr w:rsidR="00172AAE" w:rsidRPr="00634FAB" w14:paraId="20970811" w14:textId="77777777" w:rsidTr="00BD27FA">
        <w:trPr>
          <w:gridBefore w:val="1"/>
          <w:wBefore w:w="118" w:type="dxa"/>
          <w:trHeight w:val="509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527A" w14:textId="77777777" w:rsidR="00172AAE" w:rsidRPr="006D5BDB" w:rsidRDefault="00172AAE" w:rsidP="00BD27FA">
            <w:pPr>
              <w:rPr>
                <w:color w:val="000000"/>
              </w:rPr>
            </w:pPr>
            <w:r>
              <w:rPr>
                <w:color w:val="000000"/>
              </w:rPr>
              <w:t>Кислота азотная, марка «</w:t>
            </w:r>
            <w:proofErr w:type="spellStart"/>
            <w:r>
              <w:rPr>
                <w:color w:val="000000"/>
              </w:rPr>
              <w:t>чда»или</w:t>
            </w:r>
            <w:proofErr w:type="spellEnd"/>
            <w:r>
              <w:rPr>
                <w:color w:val="000000"/>
              </w:rPr>
              <w:t xml:space="preserve"> «ч» ГОСТ 4461-77, тара – 20 литров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D7DA" w14:textId="77777777" w:rsidR="00172AAE" w:rsidRPr="006D5BDB" w:rsidRDefault="00172AAE" w:rsidP="00BD2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B59E" w14:textId="77777777" w:rsidR="00172AAE" w:rsidRPr="006D5BDB" w:rsidRDefault="00172AAE" w:rsidP="00BD27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825C5" w14:textId="77777777" w:rsidR="00172AAE" w:rsidRPr="000505D3" w:rsidRDefault="00172AAE" w:rsidP="00BD27FA">
            <w:pPr>
              <w:jc w:val="center"/>
            </w:pPr>
            <w:r>
              <w:t>нет</w:t>
            </w:r>
          </w:p>
        </w:tc>
        <w:tc>
          <w:tcPr>
            <w:tcW w:w="433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74DD953" w14:textId="77777777" w:rsidR="00172AAE" w:rsidRPr="00634FAB" w:rsidRDefault="00172AAE" w:rsidP="00BD27FA"/>
        </w:tc>
      </w:tr>
      <w:tr w:rsidR="00172AAE" w:rsidRPr="005531E2" w14:paraId="123A3533" w14:textId="77777777" w:rsidTr="00BD27FA">
        <w:tblPrEx>
          <w:tblLook w:val="0000" w:firstRow="0" w:lastRow="0" w:firstColumn="0" w:lastColumn="0" w:noHBand="0" w:noVBand="0"/>
        </w:tblPrEx>
        <w:trPr>
          <w:gridAfter w:val="1"/>
          <w:wAfter w:w="208" w:type="dxa"/>
          <w:trHeight w:val="1202"/>
        </w:trPr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79B723" w14:textId="27C7FB6E" w:rsidR="00172AAE" w:rsidRPr="002C48CF" w:rsidRDefault="00172AAE" w:rsidP="00BD27FA">
            <w:pPr>
              <w:ind w:left="-255" w:firstLine="284"/>
              <w:rPr>
                <w:b/>
                <w:bCs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13DE0C" w14:textId="3BAE4634" w:rsidR="00172AAE" w:rsidRPr="000034EC" w:rsidRDefault="00172AAE" w:rsidP="00BD27FA">
            <w:pPr>
              <w:ind w:left="-141" w:firstLine="2552"/>
              <w:rPr>
                <w:b/>
                <w:bCs/>
              </w:rPr>
            </w:pPr>
          </w:p>
        </w:tc>
      </w:tr>
    </w:tbl>
    <w:p w14:paraId="129E124B" w14:textId="77777777" w:rsidR="00F12C76" w:rsidRDefault="00F12C76" w:rsidP="006A3410">
      <w:pPr>
        <w:jc w:val="both"/>
      </w:pPr>
    </w:p>
    <w:sectPr w:rsidR="00F12C76" w:rsidSect="006C0B77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94CBC" w14:textId="77777777" w:rsidR="006A3410" w:rsidRDefault="006A3410">
      <w:r>
        <w:separator/>
      </w:r>
    </w:p>
  </w:endnote>
  <w:endnote w:type="continuationSeparator" w:id="0">
    <w:p w14:paraId="3F50F09C" w14:textId="77777777" w:rsidR="006A3410" w:rsidRDefault="006A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4647616"/>
      <w:docPartObj>
        <w:docPartGallery w:val="Page Numbers (Bottom of Page)"/>
        <w:docPartUnique/>
      </w:docPartObj>
    </w:sdtPr>
    <w:sdtEndPr/>
    <w:sdtContent>
      <w:p w14:paraId="4DEA83C8" w14:textId="77777777" w:rsidR="00172AAE" w:rsidRDefault="00172AA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38CE5EC8" w14:textId="77777777" w:rsidR="00172AAE" w:rsidRDefault="00172AA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194CA" w14:textId="77777777" w:rsidR="006A3410" w:rsidRDefault="006A3410">
      <w:r>
        <w:separator/>
      </w:r>
    </w:p>
  </w:footnote>
  <w:footnote w:type="continuationSeparator" w:id="0">
    <w:p w14:paraId="1684B205" w14:textId="77777777" w:rsidR="006A3410" w:rsidRDefault="006A3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E7235"/>
    <w:multiLevelType w:val="hybridMultilevel"/>
    <w:tmpl w:val="4E3E12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4C4450"/>
    <w:multiLevelType w:val="multilevel"/>
    <w:tmpl w:val="CE4487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8" w:hanging="1800"/>
      </w:pPr>
      <w:rPr>
        <w:rFonts w:hint="default"/>
      </w:rPr>
    </w:lvl>
  </w:abstractNum>
  <w:abstractNum w:abstractNumId="2" w15:restartNumberingAfterBreak="0">
    <w:nsid w:val="33DB1408"/>
    <w:multiLevelType w:val="multilevel"/>
    <w:tmpl w:val="A9407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5" w:hanging="45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8"/>
      </w:rPr>
    </w:lvl>
  </w:abstractNum>
  <w:abstractNum w:abstractNumId="3" w15:restartNumberingAfterBreak="0">
    <w:nsid w:val="66D96475"/>
    <w:multiLevelType w:val="hybridMultilevel"/>
    <w:tmpl w:val="EF924CD6"/>
    <w:lvl w:ilvl="0" w:tplc="004CB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21345688">
    <w:abstractNumId w:val="2"/>
  </w:num>
  <w:num w:numId="2" w16cid:durableId="755248527">
    <w:abstractNumId w:val="1"/>
  </w:num>
  <w:num w:numId="3" w16cid:durableId="524025960">
    <w:abstractNumId w:val="0"/>
  </w:num>
  <w:num w:numId="4" w16cid:durableId="2115130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AE"/>
    <w:rsid w:val="0013791C"/>
    <w:rsid w:val="00172AAE"/>
    <w:rsid w:val="001A1B16"/>
    <w:rsid w:val="006A3410"/>
    <w:rsid w:val="006C0B77"/>
    <w:rsid w:val="008242FF"/>
    <w:rsid w:val="00870751"/>
    <w:rsid w:val="00922C48"/>
    <w:rsid w:val="0095419A"/>
    <w:rsid w:val="00B915B7"/>
    <w:rsid w:val="00E22FA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6B9F"/>
  <w15:chartTrackingRefBased/>
  <w15:docId w15:val="{7F1E462B-F64B-4FAD-AB37-3AE68D4C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д"/>
    <w:qFormat/>
    <w:rsid w:val="00172AAE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2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A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A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A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AA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AA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AA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AA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AA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172AA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172AAE"/>
    <w:rPr>
      <w:rFonts w:eastAsiaTheme="majorEastAsia" w:cstheme="majorBidi"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172AAE"/>
    <w:rPr>
      <w:rFonts w:eastAsiaTheme="majorEastAsia" w:cstheme="majorBidi"/>
      <w:i/>
      <w:iCs/>
      <w:color w:val="2F5496" w:themeColor="accent1" w:themeShade="BF"/>
      <w:kern w:val="0"/>
      <w:sz w:val="28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172AAE"/>
    <w:rPr>
      <w:rFonts w:eastAsiaTheme="majorEastAsia" w:cstheme="majorBidi"/>
      <w:color w:val="2F5496" w:themeColor="accent1" w:themeShade="BF"/>
      <w:kern w:val="0"/>
      <w:sz w:val="28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172AAE"/>
    <w:rPr>
      <w:rFonts w:eastAsiaTheme="majorEastAsia" w:cstheme="majorBidi"/>
      <w:i/>
      <w:iCs/>
      <w:color w:val="595959" w:themeColor="text1" w:themeTint="A6"/>
      <w:kern w:val="0"/>
      <w:sz w:val="28"/>
      <w:szCs w:val="24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172AAE"/>
    <w:rPr>
      <w:rFonts w:eastAsiaTheme="majorEastAsia" w:cstheme="majorBidi"/>
      <w:color w:val="595959" w:themeColor="text1" w:themeTint="A6"/>
      <w:kern w:val="0"/>
      <w:sz w:val="28"/>
      <w:szCs w:val="24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172AAE"/>
    <w:rPr>
      <w:rFonts w:eastAsiaTheme="majorEastAsia" w:cstheme="majorBidi"/>
      <w:i/>
      <w:iCs/>
      <w:color w:val="272727" w:themeColor="text1" w:themeTint="D8"/>
      <w:kern w:val="0"/>
      <w:sz w:val="28"/>
      <w:szCs w:val="24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172AAE"/>
    <w:rPr>
      <w:rFonts w:eastAsiaTheme="majorEastAsia" w:cstheme="majorBidi"/>
      <w:color w:val="272727" w:themeColor="text1" w:themeTint="D8"/>
      <w:kern w:val="0"/>
      <w:sz w:val="28"/>
      <w:szCs w:val="24"/>
      <w:lang w:eastAsia="ru-RU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172A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2AA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172AAE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2AAE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172A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2AAE"/>
    <w:rPr>
      <w:rFonts w:ascii="Times New Roman" w:hAnsi="Times New Roman" w:cs="Times New Roman"/>
      <w:i/>
      <w:iCs/>
      <w:color w:val="404040" w:themeColor="text1" w:themeTint="BF"/>
      <w:kern w:val="0"/>
      <w:sz w:val="28"/>
      <w:szCs w:val="24"/>
      <w:lang w:eastAsia="ru-RU"/>
      <w14:ligatures w14:val="none"/>
    </w:rPr>
  </w:style>
  <w:style w:type="paragraph" w:styleId="a7">
    <w:name w:val="List Paragraph"/>
    <w:basedOn w:val="a"/>
    <w:link w:val="a8"/>
    <w:uiPriority w:val="34"/>
    <w:qFormat/>
    <w:rsid w:val="00172AAE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172AAE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172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172AAE"/>
    <w:rPr>
      <w:rFonts w:ascii="Times New Roman" w:hAnsi="Times New Roman" w:cs="Times New Roman"/>
      <w:i/>
      <w:iCs/>
      <w:color w:val="2F5496" w:themeColor="accent1" w:themeShade="BF"/>
      <w:kern w:val="0"/>
      <w:sz w:val="28"/>
      <w:szCs w:val="24"/>
      <w:lang w:eastAsia="ru-RU"/>
      <w14:ligatures w14:val="none"/>
    </w:rPr>
  </w:style>
  <w:style w:type="character" w:styleId="ac">
    <w:name w:val="Intense Reference"/>
    <w:basedOn w:val="a0"/>
    <w:uiPriority w:val="32"/>
    <w:qFormat/>
    <w:rsid w:val="00172AAE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uiPriority w:val="99"/>
    <w:rsid w:val="00172A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kern w:val="0"/>
      <w:sz w:val="20"/>
      <w:szCs w:val="20"/>
      <w:lang w:eastAsia="ru-RU"/>
      <w14:ligatures w14:val="none"/>
    </w:rPr>
  </w:style>
  <w:style w:type="paragraph" w:styleId="ad">
    <w:name w:val="footer"/>
    <w:basedOn w:val="a"/>
    <w:link w:val="ae"/>
    <w:uiPriority w:val="99"/>
    <w:unhideWhenUsed/>
    <w:rsid w:val="00172A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72AAE"/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172AAE"/>
    <w:rPr>
      <w:rFonts w:ascii="Times New Roman" w:hAnsi="Times New Roman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2025-05-05T08:01:00Z</dcterms:created>
  <dcterms:modified xsi:type="dcterms:W3CDTF">2025-05-05T08:50:00Z</dcterms:modified>
</cp:coreProperties>
</file>