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выполнение работ по капитальному ремонту автоматической пожарной сигнализации, системы оповещения и управления эвакуацией людей при пожаре в спортивном комплексе ТГУ </w:t>
      </w:r>
    </w:p>
    <w:p w:rsidR="00431F7F" w:rsidRDefault="00431F7F" w:rsidP="00431F7F">
      <w:pPr>
        <w:ind w:firstLine="709"/>
        <w:jc w:val="center"/>
        <w:rPr>
          <w:sz w:val="24"/>
          <w:szCs w:val="24"/>
        </w:rPr>
      </w:pPr>
    </w:p>
    <w:p w:rsidR="00431F7F" w:rsidRDefault="00431F7F" w:rsidP="00431F7F">
      <w:pPr>
        <w:numPr>
          <w:ilvl w:val="0"/>
          <w:numId w:val="20"/>
        </w:numPr>
        <w:jc w:val="center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Общая информация: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работ: определен проектной и рабочей документацией, локальным сметным расчетом и данным техническим заданием.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выполнения работ: г. Томск, пр. Ленина, 36, стр.2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работ: с момента заключения договора по 15.12.2025.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оплаты: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течение 7 (семи) рабочих дней после подписания Заказчиком и Подрядчиком актов сдачи-приемки выполненных работ и счета.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Выполненные работы принимаются по факту окончания работ на основании счета, актов приемки выполненных работ (форма КС-2), справки (форма КС-3) и положительных актов испытаний и (или) заключений ФГБУ «СЭУ ФПС «ИПЛ» по Томской области» о соответствии систем требованиям нормативных документов по пожарной безопасности и проектной документации.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 авансовый платеж 30% от цены, указанной в договоре.</w:t>
      </w:r>
    </w:p>
    <w:p w:rsidR="00431F7F" w:rsidRDefault="00431F7F" w:rsidP="00431F7F">
      <w:pPr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Требования к сроку и объему предоставления гарантий качества работ</w:t>
      </w:r>
      <w:r>
        <w:rPr>
          <w:sz w:val="24"/>
          <w:szCs w:val="24"/>
        </w:rPr>
        <w:t>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Гарантийный срок работоспособности системы </w:t>
      </w:r>
      <w:r>
        <w:rPr>
          <w:bCs/>
          <w:sz w:val="24"/>
          <w:szCs w:val="24"/>
        </w:rPr>
        <w:t>автоматической пожарной сигнализации, системы оповещения и управления эвакуацией людей при пожаре (далее – системы), дол</w:t>
      </w:r>
      <w:r>
        <w:rPr>
          <w:sz w:val="24"/>
          <w:szCs w:val="24"/>
        </w:rPr>
        <w:t>жен составлять не менее 60 месяцев со дня подписания сторонами акта сдачи-приемки выполненных работ (форм КС-2, КС-3), за исключением случаев преднамеренного повреждения их со стороны третьих лиц.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гарантии на материалы и оборудование, используемые при выполнении работ, должен быть не менее срока, установленного производителем.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срок гарантии на материалы и оборудование, используемые при выполнении работ, не установлен, то он должен составлять не менее 12 месяцев со дня подписания сторонами актов сдачи-приемки выполненных работ (форма КС-2, КС-3).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замену (снятие, установку, погрузку, разгрузку и доставку от местонахождения до места гарантийного ремонта и обратно) неисправного оборудования несёт Подрядчик в течение всего срока гарантии. Ответственность по заполнению актов рекламации лежит на Подрядчике.</w:t>
      </w: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продолжительности работы установки.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автоматической пожарной сигнализации, оповещения и управления эвакуацией людей при пожаре должны функционировать круглосуточно при нормальном </w:t>
      </w:r>
      <w:r>
        <w:rPr>
          <w:sz w:val="24"/>
          <w:szCs w:val="24"/>
        </w:rPr>
        <w:lastRenderedPageBreak/>
        <w:t xml:space="preserve">питающем напряжении, а при его отключении в дежурном режиме не менее чем в течение 24 ч., плюс 1 ч. работы системы пожарной автоматики в тревожном режиме.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к надежности и устойчивости.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Смонтированные системы должны быть рассчитаны на круглосуточную эксплуатацию не менее 10 лет.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 систем должна обеспечивать: взаимозаменяемость сменных однотипных составных частей, удобство технического обслуживания, эксплуатации и ремонтопригодность в течение не более 72 часов.</w:t>
      </w: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выполнения работ.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Подрядчик должен выполнить работы лично, в полном соответствии с требованиями проектной и рабочей документации, шифр: 2025-03/001-ПБ2, 2025-03/001-СПС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ОУЭ,</w:t>
      </w:r>
      <w:r>
        <w:t xml:space="preserve"> </w:t>
      </w:r>
      <w:r>
        <w:rPr>
          <w:sz w:val="24"/>
          <w:szCs w:val="24"/>
        </w:rPr>
        <w:t>локального сметного расчёта № ЛС-02-01-01 и данного технического задания.</w:t>
      </w:r>
    </w:p>
    <w:p w:rsidR="00431F7F" w:rsidRDefault="00431F7F" w:rsidP="00431F7F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проведении работ Подрядчик обязан обеспечить защитные мероприятия по сохранности действующих инженерных систем. </w:t>
      </w:r>
      <w:r>
        <w:rPr>
          <w:bCs/>
          <w:sz w:val="24"/>
          <w:szCs w:val="24"/>
        </w:rPr>
        <w:t xml:space="preserve">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он устраняет за свой счёт и своими силами, </w:t>
      </w:r>
      <w:r>
        <w:rPr>
          <w:sz w:val="24"/>
          <w:szCs w:val="24"/>
        </w:rPr>
        <w:t xml:space="preserve">и в сроки, указанные в акте замечаний, </w:t>
      </w:r>
      <w:r>
        <w:rPr>
          <w:bCs/>
          <w:sz w:val="24"/>
          <w:szCs w:val="24"/>
        </w:rPr>
        <w:t>если не докажет, что данный инцидент произошел не по его вине</w:t>
      </w:r>
      <w:r>
        <w:rPr>
          <w:sz w:val="24"/>
          <w:szCs w:val="24"/>
        </w:rPr>
        <w:t xml:space="preserve">. </w:t>
      </w:r>
    </w:p>
    <w:p w:rsidR="00431F7F" w:rsidRDefault="00431F7F" w:rsidP="00431F7F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За не устранение в установленные сроки ранее выявленных недостатков и дефектов, возникших в результате некачественно выполненных работ, а также за несоблюдение требований охраны труда, зафиксированных Актом нарушения, Заказчик вправе потребовать выплату неустойки в размере 5 000 руб. За обнаружение  на территории Заказчика работников  Подрядчика в  состоянии  алкогольного,  наркотического или токсического  опьянения Заказчик вправе потребовать выплату неустойки в размере 30 000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руб. За несанкционированную свалку отходов, нарушение порядка складирования и хранения имущества Подрядчика на территории Заказчика (за единичный факт зафиксированного нарушения) Заказчик вправе потребовать выплату неустойки в размере 10 000 руб. За несоблюдение сроков, либо нарушение графика проведения работ, предоставляемого после заключения договора, но до начала работ, в случае, если Подрядчик не предоставит обоснование задержки работ, подтвержденных документально или виде официальной</w:t>
      </w:r>
      <w:proofErr w:type="gramEnd"/>
      <w:r>
        <w:rPr>
          <w:bCs/>
          <w:sz w:val="24"/>
          <w:szCs w:val="24"/>
        </w:rPr>
        <w:t xml:space="preserve"> переписки с Заказчиком, Заказчик вправе потребовать выплату штрафа в размере 10 000 руб.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 того времени, пока ущ</w:t>
      </w:r>
      <w:r>
        <w:rPr>
          <w:sz w:val="24"/>
          <w:szCs w:val="24"/>
        </w:rPr>
        <w:t>ерб полностью не будет возмещен, акты формы КС-2 (о приемке выполненных работ) подписаны не будут.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Подрядчик обязан:</w:t>
      </w:r>
    </w:p>
    <w:p w:rsidR="00431F7F" w:rsidRDefault="00431F7F" w:rsidP="00431F7F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Обеспечить соблюдение правил пожарной безопасности, охраны труда и санитарно-гигиенического режима при производстве работ. Машины, при работе которых выделяется пыль (перфораторы, УШМ и др.), должны быть оборудованы средствами пылеподавления или пылеулавливания. В случае возникновения </w:t>
      </w:r>
      <w:r>
        <w:rPr>
          <w:iCs/>
          <w:sz w:val="24"/>
          <w:szCs w:val="24"/>
        </w:rPr>
        <w:t xml:space="preserve">образовавшихся отверстий, зазоров, сколов, разломов и трещин в результате бурения или сверления стен и перекрытий, Подрядчик должен провести работы по заделке их негорючими материалами и приведению в «первоначальное» состояние. </w:t>
      </w:r>
      <w:r>
        <w:rPr>
          <w:bCs/>
          <w:sz w:val="24"/>
          <w:szCs w:val="24"/>
        </w:rPr>
        <w:t>Подрядчиком должны быть соблюдены правила охраны труда при работе на высоте. Ответственность за соблюдение правил безопасности лежит на Подрядчике. Подрядчик обязан ежедневно вывозить за собой строительный мусор.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 начала выполнения работ представить Заказчику список персонала, который будет задействован на объекте (форму допуска и списка персонала определяет Заказчик), с указанием фамилии, имени, отчества, паспортных данных и гражданства. Назначить ответственное лицо для осуществления контроля над производством работ, а также решения административных и технических вопросов.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При производстве огневых и пожароопасных работ Подрядчик должен оформить наряд-допуск на проведение огневых работ в отделе ГО, ЧС и пожарной безопасности ТГУ по установленной форме.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Подрядчик должен соблюдать правила внутреннего трудового распорядка, установленные Заказчиком. Продолжительность рабочего дня – не более 8 часов при 5-ти дневной рабочей неделе. Увеличение продолжительности рабочего дня и недели - по согласованию с Заказчиком. В нерабочее время, в выходные и праздничные дни, Подрядчик может выполнять работы по согласованию с Заказчиком.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 течение 5-ти рабочих дней после подписания договора заключить договор на проведение испытательных работ с ФГБУ «СЭУ ФПС «ИПЛ» по Томской области», разработать и направить в отдел ГО, ЧС и ПБ ТГУ график проведения работ, с подробным указанием еженедельных объемов выполняемых работ.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Еженедельно по понедельникам до 15.00 часов предоставлять в отдел ГО, ЧС и ПБ отчет о проделанной работе согласно графику, согласованному уполномоченным представителем Заказчика.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7) В случае, если при производстве работ имеются товары, входящие в «Перечень товаров, подлежащих прослеживаемости», утвержденный Постановлением Правительства Российской Федерации от 01.07.2021 № 1110 (далее - Постановление), Подрядчик и Заказчик обязаны обеспечить передачу и прием счетов-фактур, УПД (универсальных передаточных документов,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корректировочных), товарных накладных в электронной форме по телекоммуникационным каналам связи через оператора электронного документооборота.</w:t>
      </w:r>
      <w:proofErr w:type="gramEnd"/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Монтажные и пусконаладочные работы должны выполняться специализированной организацией, имеющей лицензию МЧС, которая должна содержать согласно «Положению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сооружений», утвержденному Постановлением Правительства Российской Федерации от 28.07.2020 № 1128, следующие виды работ: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Подрядчиком обстоятельств, частично препятствующих выполнению работ, Подрядчик незамедлительно уведомляет письменно, на официальном бланке своей организации, Заказчика с указанием причин препятствующих выполнению работ.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полной невозможности продолжения работ, Подрядчик письменно уведомляет об этом Заказчика с указанием даты приостановки работ, при этом работы на объекте останавливаются полностью, что является существенным условием для неприменения штрафов и пеней на период приостановки работ.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обнаружения Подрядчиком в проектной и рабочей документации несоответствий требованиям нормативных правовых актов, требований пожарной безопасности, влияющих на итоговую сдачу монтажных работ, пусконаладочных и иных работ, производимых Подрядчиком, Подрядчик в свою очередь письмом уведомляет об этом Заказчика. В случае необходимости внесения изменений в проектную и рабочую документацию Подрядчик, на основании письменного запроса Заказчика в семидневный срок подготавливает техническое решение по внесению изменений, а также ведомости объёмов работ и передаёт их Заказчику.</w:t>
      </w:r>
    </w:p>
    <w:p w:rsidR="00431F7F" w:rsidRDefault="00431F7F" w:rsidP="00431F7F">
      <w:pPr>
        <w:ind w:firstLine="709"/>
        <w:jc w:val="both"/>
        <w:rPr>
          <w:color w:val="FF0000"/>
          <w:sz w:val="24"/>
          <w:szCs w:val="24"/>
        </w:rPr>
      </w:pPr>
    </w:p>
    <w:p w:rsidR="00431F7F" w:rsidRDefault="00431F7F" w:rsidP="00431F7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Монтажные работы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Монтаж и демонтаж пультов, щитков, распределительных коробок, пожарных извещателей, оповещателей и других приборов, должен производиться аккуратно, без повреждения стен и потолков. После демонтажа существующего оборудования (пультов, </w:t>
      </w:r>
      <w:r>
        <w:rPr>
          <w:sz w:val="24"/>
          <w:szCs w:val="24"/>
        </w:rPr>
        <w:lastRenderedPageBreak/>
        <w:t xml:space="preserve">щитков, распределительных коробок, пожарных извещателей, оповещателей и других приборов) необходимо выполнить ремонт (восстановление) поверхности стен и потолков.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уплотнителя, возможно, использовать строительный раствор (</w:t>
      </w:r>
      <w:proofErr w:type="spellStart"/>
      <w:r>
        <w:rPr>
          <w:sz w:val="24"/>
          <w:szCs w:val="24"/>
        </w:rPr>
        <w:t>цементно</w:t>
      </w:r>
      <w:proofErr w:type="spellEnd"/>
      <w:r>
        <w:rPr>
          <w:sz w:val="24"/>
          <w:szCs w:val="24"/>
        </w:rPr>
        <w:t xml:space="preserve"> - песчаная смесь), при этом заделка осуществляется на всю толщину строительной конструкции. Также возможно использовать негорючие герметики, негорючие монтажные пены и пасты и иные негорючие материалы (минеральная вата, шнуры базальтовые и др.), прошедшие обязательное подтверждение соответствия требованиям Федерального закона №123-ФЗ в форме декларирования соответствия или в форме обязательной сертификации.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производстве работ по монтажу, Подрядчик должен обеспечивать ежедневную влажную уборку рабочего места.</w:t>
      </w:r>
    </w:p>
    <w:p w:rsidR="00431F7F" w:rsidRDefault="00431F7F" w:rsidP="00431F7F">
      <w:pPr>
        <w:ind w:firstLine="709"/>
        <w:jc w:val="both"/>
        <w:rPr>
          <w:b/>
          <w:sz w:val="24"/>
          <w:szCs w:val="24"/>
        </w:rPr>
      </w:pPr>
    </w:p>
    <w:p w:rsidR="00431F7F" w:rsidRDefault="00431F7F" w:rsidP="00431F7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7. Требования к качеству, техническим характеристикам,</w:t>
      </w:r>
      <w:r>
        <w:rPr>
          <w:b/>
          <w:bCs/>
          <w:sz w:val="24"/>
          <w:szCs w:val="24"/>
        </w:rPr>
        <w:t xml:space="preserve"> безопасности и</w:t>
      </w:r>
    </w:p>
    <w:p w:rsidR="00431F7F" w:rsidRDefault="00431F7F" w:rsidP="00431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результатам работ и иные показатели, связанные с определением соответствия выполняемых работ потребностям Заказчика.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Качество, технические характеристики, безопасность и результаты работ, а также иные показатели, связанные с определением соответствия выполняемых работ потребностям Заказчика, должны соответствовать проектной и рабочей документации, локальному сметному расчету, данному техническому заданию. Материалы и оборудование, используемые при выполнении работ, должны быть новыми (выпуска не ранее 4 кв. 2024г.), сертифицированными, не использованными ранее.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сертификатов, паспортов и других необходимых документов, удостоверяющих качество материалов, изделий и оборудования, применяемых при производстве монтажных работ, должны быть предоставлены Подрядчиком Заказчику в составе исполнительной документации.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заключения договора, до начала выполнения монтажных работ, Подрядчик обязан обследовать все помещения на наличие инженерного, вентиляционного или иного оборудования (кондиционеры, тепловые завесы и т.п.), которое напрямую должно взаимодействовать с системой автоматической пожарной сигнализации.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такое оборудование имеется, Подрядчик обязан письменно известить об этом Заказчика, указать на схемах места расположения данного оборудования, точки подключения к электрическим сетям и обеспечить отключение систем </w:t>
      </w:r>
      <w:proofErr w:type="spellStart"/>
      <w:r>
        <w:rPr>
          <w:sz w:val="24"/>
          <w:szCs w:val="24"/>
        </w:rPr>
        <w:t>общеобменной</w:t>
      </w:r>
      <w:proofErr w:type="spellEnd"/>
      <w:r>
        <w:rPr>
          <w:sz w:val="24"/>
          <w:szCs w:val="24"/>
        </w:rPr>
        <w:t xml:space="preserve"> вентиляции и кондиционирования при срабатывании системы пожарной сигнализации.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приемке системы автоматической пожарной сигнализации, системы оповещения и управления эвакуацией людей при пожаре в эксплуатацию: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Подрядчик привлекает за счёт собственных средств сотрудников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Томской области» (далее - испытательная пожарная лаборатория) для проведения проверки работоспособности и исправности смонтированных систем и выдачи </w:t>
      </w:r>
      <w:r>
        <w:rPr>
          <w:bCs/>
          <w:sz w:val="24"/>
          <w:szCs w:val="24"/>
        </w:rPr>
        <w:t>положительных</w:t>
      </w:r>
      <w:r>
        <w:rPr>
          <w:sz w:val="24"/>
          <w:szCs w:val="24"/>
        </w:rPr>
        <w:t xml:space="preserve"> актов испытаний и (или) заключений о соответствии требованиям нормативных документов по пожарной безопасности и проектной документации.</w:t>
      </w:r>
      <w:proofErr w:type="gramEnd"/>
      <w:r>
        <w:rPr>
          <w:sz w:val="24"/>
          <w:szCs w:val="24"/>
        </w:rPr>
        <w:t xml:space="preserve"> Проверка должна производиться в присутствии рабочей комиссии в составе представителей Заказчика и Подрядчика. Нарушения, выявленные при проведении проверки, немедленно устраняются Подрядчиком с подтверждением факта устранения результатами повторной проверки (испытаний) испытательной пожарной лабораторией.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Подрядчик предоставляет Заказчику: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Исполнительную документацию согласно приложению Б.2. СП 48.13330.2019: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исполнительную документацию и схемы, акты скрытых работ (при их наличии), испытаний и замеров;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приемки системы в эксплуатацию;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техническую документацию предприятий-изготовителей (руководства по эксплуатации, паспорта и т.п.) технических средств имеющейся системы, оригиналы паспортов огнестойкой кабельной линии;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результаты проведения проверки испытательной пожарной лабораторией работоспособности и исправности смонтированных систем противопожарной защиты (положительные акты и (или) заключения);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инструкцию по эксплуатации примененных (смонтированных) установок пожарной автоматики для обслуживающего персонала (в том числе на электронном носителе в формате </w:t>
      </w:r>
      <w:r>
        <w:rPr>
          <w:sz w:val="24"/>
          <w:szCs w:val="24"/>
          <w:lang w:val="en-US"/>
        </w:rPr>
        <w:t>MSWord</w:t>
      </w:r>
      <w:r>
        <w:rPr>
          <w:sz w:val="24"/>
          <w:szCs w:val="24"/>
        </w:rPr>
        <w:t>);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исполнительная документация, подписанная со стороны Подрядчика и Заказчика, передаётся в виде </w:t>
      </w:r>
      <w:proofErr w:type="gramStart"/>
      <w:r>
        <w:rPr>
          <w:sz w:val="24"/>
          <w:szCs w:val="24"/>
        </w:rPr>
        <w:t>скан-копии</w:t>
      </w:r>
      <w:proofErr w:type="gramEnd"/>
      <w:r>
        <w:rPr>
          <w:sz w:val="24"/>
          <w:szCs w:val="24"/>
        </w:rPr>
        <w:t xml:space="preserve"> на электронном носителе в формате *.</w:t>
      </w:r>
      <w:r>
        <w:rPr>
          <w:sz w:val="24"/>
          <w:szCs w:val="24"/>
          <w:lang w:val="en-US"/>
        </w:rPr>
        <w:t>pdf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инструкцию о порядке действий дежурного персонала при получении сигналов о пожаре и неисправности установок (устройств, систем) противопожарной защиты объекта защиты (в том числе на электронном носителе в формате </w:t>
      </w:r>
      <w:r>
        <w:rPr>
          <w:sz w:val="24"/>
          <w:szCs w:val="24"/>
          <w:lang w:val="en-US"/>
        </w:rPr>
        <w:t>MSWord</w:t>
      </w:r>
      <w:r>
        <w:rPr>
          <w:sz w:val="24"/>
          <w:szCs w:val="24"/>
        </w:rPr>
        <w:t>).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производства работ за фактически выполненные работы Подрядчик предоставляет акты КС-2 в 3-х экземплярах, справку о стоимости выполненных работ и затрат КС-3 в </w:t>
      </w:r>
      <w:r>
        <w:rPr>
          <w:bCs/>
          <w:sz w:val="24"/>
          <w:szCs w:val="24"/>
        </w:rPr>
        <w:t xml:space="preserve">3-х </w:t>
      </w:r>
      <w:r>
        <w:rPr>
          <w:sz w:val="24"/>
          <w:szCs w:val="24"/>
        </w:rPr>
        <w:t>экземплярах. В справке КС-3 Подрядчик справочно указывает смонтированное на объекте оборудование со стоимостью.  Справку визирует у материально ответственного лица объекта, на котором производились монтажные работы.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Приемка работ производится Заказчиком на основании письменного извещения Подрядчика об окончании выполнения работ в течение 20 календарных дней. В составе документов </w:t>
      </w:r>
      <w:proofErr w:type="gramStart"/>
      <w:r>
        <w:rPr>
          <w:sz w:val="24"/>
          <w:szCs w:val="24"/>
        </w:rPr>
        <w:t>предоставляет справку</w:t>
      </w:r>
      <w:proofErr w:type="gramEnd"/>
      <w:r>
        <w:rPr>
          <w:sz w:val="24"/>
          <w:szCs w:val="24"/>
        </w:rPr>
        <w:t xml:space="preserve"> о наличии/отсутствии драгоценных металлов и драгоценных камней в установленном оборудовании.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bookmarkStart w:id="1" w:name="OCRUncertain2414"/>
      <w:r>
        <w:rPr>
          <w:sz w:val="24"/>
          <w:szCs w:val="24"/>
        </w:rPr>
        <w:t>М</w:t>
      </w:r>
      <w:bookmarkEnd w:id="1"/>
      <w:r>
        <w:rPr>
          <w:sz w:val="24"/>
          <w:szCs w:val="24"/>
        </w:rPr>
        <w:t>етодика испытаний работоспособности техническ</w:t>
      </w:r>
      <w:bookmarkStart w:id="2" w:name="OCRUncertain2460"/>
      <w:r>
        <w:rPr>
          <w:sz w:val="24"/>
          <w:szCs w:val="24"/>
        </w:rPr>
        <w:t>и</w:t>
      </w:r>
      <w:bookmarkEnd w:id="2"/>
      <w:r>
        <w:rPr>
          <w:sz w:val="24"/>
          <w:szCs w:val="24"/>
        </w:rPr>
        <w:t>х средств системы автоматической пожарной сигнализации, системы оповещения и управления эвакуацией людей при пожаре, проводимых исполнителем работ (Подрядчиком) при монта</w:t>
      </w:r>
      <w:bookmarkStart w:id="3" w:name="OCRUncertain2415"/>
      <w:r>
        <w:rPr>
          <w:sz w:val="24"/>
          <w:szCs w:val="24"/>
        </w:rPr>
        <w:t>ж</w:t>
      </w:r>
      <w:bookmarkEnd w:id="3"/>
      <w:r>
        <w:rPr>
          <w:sz w:val="24"/>
          <w:szCs w:val="24"/>
        </w:rPr>
        <w:t>е и приемке их в эксплуатаци</w:t>
      </w:r>
      <w:bookmarkStart w:id="4" w:name="OCRUncertain2418"/>
      <w:r>
        <w:rPr>
          <w:sz w:val="24"/>
          <w:szCs w:val="24"/>
        </w:rPr>
        <w:t>ю</w:t>
      </w:r>
      <w:bookmarkEnd w:id="4"/>
      <w:r>
        <w:rPr>
          <w:sz w:val="24"/>
          <w:szCs w:val="24"/>
        </w:rPr>
        <w:t xml:space="preserve">, определяется в </w:t>
      </w:r>
      <w:bookmarkStart w:id="5" w:name="OCRUncertain2419"/>
      <w:r>
        <w:rPr>
          <w:sz w:val="24"/>
          <w:szCs w:val="24"/>
        </w:rPr>
        <w:t xml:space="preserve">каждом </w:t>
      </w:r>
      <w:bookmarkEnd w:id="5"/>
      <w:r>
        <w:rPr>
          <w:sz w:val="24"/>
          <w:szCs w:val="24"/>
        </w:rPr>
        <w:t>конкретном случае</w:t>
      </w:r>
      <w:bookmarkStart w:id="6" w:name="OCRUncertain2420"/>
      <w:r>
        <w:rPr>
          <w:sz w:val="24"/>
          <w:szCs w:val="24"/>
        </w:rPr>
        <w:t xml:space="preserve"> рабочей</w:t>
      </w:r>
      <w:bookmarkEnd w:id="6"/>
      <w:r>
        <w:rPr>
          <w:sz w:val="24"/>
          <w:szCs w:val="24"/>
        </w:rPr>
        <w:t xml:space="preserve"> ко</w:t>
      </w:r>
      <w:bookmarkStart w:id="7" w:name="OCRUncertain2421"/>
      <w:r>
        <w:rPr>
          <w:sz w:val="24"/>
          <w:szCs w:val="24"/>
        </w:rPr>
        <w:t>м</w:t>
      </w:r>
      <w:bookmarkEnd w:id="7"/>
      <w:r>
        <w:rPr>
          <w:sz w:val="24"/>
          <w:szCs w:val="24"/>
        </w:rPr>
        <w:t>иссией.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монтаже систем должно учитываться следующее: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система пожарной сигнализации обеспечивать автоматическое обнаружение пожара, подачу управляющих сигналов на технические средства оповещения людей о пожаре и управления эвакуацией людей (на технические средства управления системой противодымной защиты, инженерное и технологическое оборудование), так же должно обеспечиваться автоматическое информирование дежурного персонала о возникновении неисправности линий связи между отдельными техническими средствами (неисправности технических средств, оборудования), входящими в состав систем;</w:t>
      </w:r>
      <w:proofErr w:type="gramEnd"/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настройке и программировании базы данных пульта контроля и управления, блоков индикации, Подрядчик должен присвоить и обозначить на приборах фактическое наименование (нумерацию) помещений;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 оповещения людей о пожаре и управления эвакуацией людей должны функционировать в течение времени, необходимого для завершения эвакуации людей из здания;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размещение и монтаж технических средств (приборов, оборудования) системы автоматической пожарной сигнализации, системы оповещения и управления эвакуации людей при пожаре (пожарных извещателей, световых, звуковых (речевых) оповещателей, приемно-контрольных приборов (устройств), кабельной и иной электротехнической продукции) должны быть выполнены в соответс</w:t>
      </w:r>
      <w:bookmarkStart w:id="8" w:name="OCRUncertain1942"/>
      <w:r>
        <w:rPr>
          <w:sz w:val="24"/>
          <w:szCs w:val="24"/>
        </w:rPr>
        <w:t>т</w:t>
      </w:r>
      <w:bookmarkEnd w:id="8"/>
      <w:r>
        <w:rPr>
          <w:sz w:val="24"/>
          <w:szCs w:val="24"/>
        </w:rPr>
        <w:t>в</w:t>
      </w:r>
      <w:bookmarkStart w:id="9" w:name="OCRUncertain1943"/>
      <w:r>
        <w:rPr>
          <w:sz w:val="24"/>
          <w:szCs w:val="24"/>
        </w:rPr>
        <w:t>и</w:t>
      </w:r>
      <w:bookmarkEnd w:id="9"/>
      <w:r>
        <w:rPr>
          <w:sz w:val="24"/>
          <w:szCs w:val="24"/>
        </w:rPr>
        <w:t>и с требованиями проекта, Федерального закона от 22.08.2008 № 123-ФЗ «Технический регламент о требованиях пожарной безопасности», СП 3.13130.2009, СП 5.13130.2009, СП 6.13130.2021, СП 12.13130.2009</w:t>
      </w:r>
      <w:proofErr w:type="gramEnd"/>
      <w:r>
        <w:rPr>
          <w:sz w:val="24"/>
          <w:szCs w:val="24"/>
        </w:rPr>
        <w:t xml:space="preserve">, Правил противопожарного режима в Российской Федерации, утвержденных </w:t>
      </w:r>
      <w:r>
        <w:rPr>
          <w:bCs/>
          <w:sz w:val="24"/>
          <w:szCs w:val="24"/>
        </w:rPr>
        <w:t>Постановлением Правительства РФ от 16.09.2020    №1479,</w:t>
      </w:r>
      <w:r>
        <w:rPr>
          <w:sz w:val="24"/>
          <w:szCs w:val="24"/>
        </w:rPr>
        <w:t xml:space="preserve"> ВСН, ПУЭ, ПТЭЭП, технической документации заводов-изготовителей указанного оборудования.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монтажных работ, системы должны быть испытаны в дежурном режиме работы в течение 72-х часов.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Подрядчик должен под роспись обучить все смены дежурного персонала (сотрудников охраны), отвечающих за охрану данного объекта, работе с установленными </w:t>
      </w:r>
      <w:r>
        <w:rPr>
          <w:sz w:val="24"/>
          <w:szCs w:val="24"/>
        </w:rPr>
        <w:lastRenderedPageBreak/>
        <w:t>системами и порядку действий дежурного персонала при получении сигналов о пожаре и неисправности установок (устройств, систем) противопожарной защиты объекта защиты.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при монтаже обращать на исполнение: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 раздела 4 СП 3.13130-2009 к обеспечению нормативных значений общего уровня звука настенными речевыми (звуковыми) </w:t>
      </w:r>
      <w:proofErr w:type="spellStart"/>
      <w:r>
        <w:rPr>
          <w:sz w:val="24"/>
          <w:szCs w:val="24"/>
        </w:rPr>
        <w:t>оповещателями</w:t>
      </w:r>
      <w:proofErr w:type="spellEnd"/>
      <w:r>
        <w:rPr>
          <w:sz w:val="24"/>
          <w:szCs w:val="24"/>
        </w:rPr>
        <w:t xml:space="preserve"> СОУЭ;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 СП 6.13130.2021,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53316-2021;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 к используемым кабельным каналам (коробам), для прокладки шлейфов (кабельных изделий) систем пожарной автоматики, согласно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53313-2009 «Изделия </w:t>
      </w:r>
      <w:proofErr w:type="spellStart"/>
      <w:r>
        <w:rPr>
          <w:sz w:val="24"/>
          <w:szCs w:val="24"/>
        </w:rPr>
        <w:t>погонажные</w:t>
      </w:r>
      <w:proofErr w:type="spellEnd"/>
      <w:r>
        <w:rPr>
          <w:sz w:val="24"/>
          <w:szCs w:val="24"/>
        </w:rPr>
        <w:t xml:space="preserve"> электромонтажные. Требования пожарной безопасности. Методы испытаний», с учетом ч.3, ч.4 ст.145 Федерального закона РФ от 22.08.2008 г. № 123–ФЗ «Технический регламент о требованиях пожарной безопасности»; 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производства работ по монтажу, нала</w:t>
      </w:r>
      <w:bookmarkStart w:id="10" w:name="OCRUncertain043"/>
      <w:r>
        <w:rPr>
          <w:sz w:val="24"/>
          <w:szCs w:val="24"/>
        </w:rPr>
        <w:t>д</w:t>
      </w:r>
      <w:bookmarkEnd w:id="10"/>
      <w:r>
        <w:rPr>
          <w:sz w:val="24"/>
          <w:szCs w:val="24"/>
        </w:rPr>
        <w:t>к</w:t>
      </w:r>
      <w:bookmarkStart w:id="11" w:name="OCRUncertain044"/>
      <w:r>
        <w:rPr>
          <w:sz w:val="24"/>
          <w:szCs w:val="24"/>
        </w:rPr>
        <w:t>е,</w:t>
      </w:r>
      <w:bookmarkStart w:id="12" w:name="OCRUncertain045"/>
      <w:bookmarkEnd w:id="11"/>
      <w:r>
        <w:rPr>
          <w:sz w:val="24"/>
          <w:szCs w:val="24"/>
        </w:rPr>
        <w:t xml:space="preserve"> испытания</w:t>
      </w:r>
      <w:bookmarkEnd w:id="12"/>
      <w:r>
        <w:rPr>
          <w:sz w:val="24"/>
          <w:szCs w:val="24"/>
        </w:rPr>
        <w:t>м (настройке) и сдаче в эксплуатацию технических средств автоматической установки пожарной сигнализации, системы оповещения и управления эвакуации людей при пожаре выполнить согласно РД 78.145-93 «Системы и комплексы охранной, пожарной и охранно-пожарной сигнализации. Правила производства и приемки работ», с использованием инструмента (в том числе средств измерения) исполнителя работ (п.4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сооружений).</w:t>
      </w:r>
    </w:p>
    <w:p w:rsidR="00431F7F" w:rsidRDefault="00431F7F" w:rsidP="00431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Подрядчик должен гара</w:t>
      </w:r>
      <w:bookmarkStart w:id="13" w:name="OCRUncertain2608"/>
      <w:r>
        <w:rPr>
          <w:sz w:val="24"/>
          <w:szCs w:val="24"/>
        </w:rPr>
        <w:t>нтировать безотка</w:t>
      </w:r>
      <w:bookmarkEnd w:id="13"/>
      <w:r>
        <w:rPr>
          <w:sz w:val="24"/>
          <w:szCs w:val="24"/>
        </w:rPr>
        <w:t>з</w:t>
      </w:r>
      <w:bookmarkStart w:id="14" w:name="OCRUncertain2610"/>
      <w:r>
        <w:rPr>
          <w:sz w:val="24"/>
          <w:szCs w:val="24"/>
        </w:rPr>
        <w:t>ную работу смонти</w:t>
      </w:r>
      <w:bookmarkEnd w:id="14"/>
      <w:r>
        <w:rPr>
          <w:sz w:val="24"/>
          <w:szCs w:val="24"/>
        </w:rPr>
        <w:t>рова</w:t>
      </w:r>
      <w:bookmarkStart w:id="15" w:name="OCRUncertain2611"/>
      <w:r>
        <w:rPr>
          <w:sz w:val="24"/>
          <w:szCs w:val="24"/>
        </w:rPr>
        <w:t>нны</w:t>
      </w:r>
      <w:bookmarkEnd w:id="15"/>
      <w:r>
        <w:rPr>
          <w:sz w:val="24"/>
          <w:szCs w:val="24"/>
        </w:rPr>
        <w:t xml:space="preserve">х технических </w:t>
      </w:r>
      <w:bookmarkStart w:id="16" w:name="OCRUncertain2612"/>
      <w:r>
        <w:rPr>
          <w:sz w:val="24"/>
          <w:szCs w:val="24"/>
        </w:rPr>
        <w:t>средств систем в те</w:t>
      </w:r>
      <w:bookmarkStart w:id="17" w:name="OCRUncertain2613"/>
      <w:bookmarkEnd w:id="16"/>
      <w:r>
        <w:rPr>
          <w:sz w:val="24"/>
          <w:szCs w:val="24"/>
        </w:rPr>
        <w:t>чение</w:t>
      </w:r>
      <w:bookmarkEnd w:id="17"/>
      <w:r>
        <w:rPr>
          <w:sz w:val="24"/>
          <w:szCs w:val="24"/>
        </w:rPr>
        <w:t xml:space="preserve"> гарантийного периода со</w:t>
      </w:r>
      <w:bookmarkStart w:id="18" w:name="OCRUncertain2615"/>
      <w:r>
        <w:rPr>
          <w:sz w:val="24"/>
          <w:szCs w:val="24"/>
        </w:rPr>
        <w:t xml:space="preserve"> дн</w:t>
      </w:r>
      <w:bookmarkEnd w:id="18"/>
      <w:r>
        <w:rPr>
          <w:sz w:val="24"/>
          <w:szCs w:val="24"/>
        </w:rPr>
        <w:t xml:space="preserve">я приемки </w:t>
      </w:r>
      <w:bookmarkStart w:id="19" w:name="OCRUncertain2616"/>
      <w:r>
        <w:rPr>
          <w:sz w:val="24"/>
          <w:szCs w:val="24"/>
        </w:rPr>
        <w:t>их в</w:t>
      </w:r>
      <w:bookmarkEnd w:id="19"/>
      <w:r>
        <w:rPr>
          <w:sz w:val="24"/>
          <w:szCs w:val="24"/>
        </w:rPr>
        <w:t xml:space="preserve"> э</w:t>
      </w:r>
      <w:bookmarkStart w:id="20" w:name="OCRUncertain2617"/>
      <w:r>
        <w:rPr>
          <w:sz w:val="24"/>
          <w:szCs w:val="24"/>
        </w:rPr>
        <w:t>к</w:t>
      </w:r>
      <w:bookmarkEnd w:id="20"/>
      <w:r>
        <w:rPr>
          <w:sz w:val="24"/>
          <w:szCs w:val="24"/>
        </w:rPr>
        <w:t>с</w:t>
      </w:r>
      <w:bookmarkStart w:id="21" w:name="OCRUncertain2618"/>
      <w:r>
        <w:rPr>
          <w:sz w:val="24"/>
          <w:szCs w:val="24"/>
        </w:rPr>
        <w:t>п</w:t>
      </w:r>
      <w:bookmarkEnd w:id="21"/>
      <w:r>
        <w:rPr>
          <w:sz w:val="24"/>
          <w:szCs w:val="24"/>
        </w:rPr>
        <w:t>луата</w:t>
      </w:r>
      <w:bookmarkStart w:id="22" w:name="OCRUncertain2619"/>
      <w:r>
        <w:rPr>
          <w:sz w:val="24"/>
          <w:szCs w:val="24"/>
        </w:rPr>
        <w:t>цию и</w:t>
      </w:r>
      <w:bookmarkEnd w:id="22"/>
      <w:r>
        <w:rPr>
          <w:sz w:val="24"/>
          <w:szCs w:val="24"/>
        </w:rPr>
        <w:t xml:space="preserve"> обязан в сроки, у</w:t>
      </w:r>
      <w:bookmarkStart w:id="23" w:name="OCRUncertain2620"/>
      <w:r>
        <w:rPr>
          <w:sz w:val="24"/>
          <w:szCs w:val="24"/>
        </w:rPr>
        <w:t>к</w:t>
      </w:r>
      <w:bookmarkEnd w:id="23"/>
      <w:r>
        <w:rPr>
          <w:sz w:val="24"/>
          <w:szCs w:val="24"/>
        </w:rPr>
        <w:t xml:space="preserve">азанные </w:t>
      </w:r>
      <w:bookmarkStart w:id="24" w:name="OCRUncertain2621"/>
      <w:r>
        <w:rPr>
          <w:sz w:val="24"/>
          <w:szCs w:val="24"/>
        </w:rPr>
        <w:t>в акте</w:t>
      </w:r>
      <w:bookmarkEnd w:id="24"/>
      <w:r>
        <w:rPr>
          <w:sz w:val="24"/>
          <w:szCs w:val="24"/>
        </w:rPr>
        <w:t xml:space="preserve"> о выявленных </w:t>
      </w:r>
      <w:bookmarkStart w:id="25" w:name="OCRUncertain2622"/>
      <w:r>
        <w:rPr>
          <w:sz w:val="24"/>
          <w:szCs w:val="24"/>
        </w:rPr>
        <w:t>д</w:t>
      </w:r>
      <w:bookmarkEnd w:id="25"/>
      <w:r>
        <w:rPr>
          <w:sz w:val="24"/>
          <w:szCs w:val="24"/>
        </w:rPr>
        <w:t>ефектах</w:t>
      </w:r>
      <w:bookmarkStart w:id="26" w:name="OCRUncertain2623"/>
      <w:r>
        <w:rPr>
          <w:sz w:val="24"/>
          <w:szCs w:val="24"/>
        </w:rPr>
        <w:t>,</w:t>
      </w:r>
      <w:bookmarkEnd w:id="26"/>
      <w:r>
        <w:rPr>
          <w:sz w:val="24"/>
          <w:szCs w:val="24"/>
        </w:rPr>
        <w:t xml:space="preserve"> устранить данные дефекты.</w:t>
      </w:r>
    </w:p>
    <w:p w:rsidR="003E1259" w:rsidRDefault="003E1259" w:rsidP="003E1259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0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9C" w:rsidRDefault="0081579C">
      <w:r>
        <w:separator/>
      </w:r>
    </w:p>
  </w:endnote>
  <w:endnote w:type="continuationSeparator" w:id="0">
    <w:p w:rsidR="0081579C" w:rsidRDefault="0081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431F7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9C" w:rsidRDefault="0081579C">
      <w:r>
        <w:separator/>
      </w:r>
    </w:p>
  </w:footnote>
  <w:footnote w:type="continuationSeparator" w:id="0">
    <w:p w:rsidR="0081579C" w:rsidRDefault="0081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31F7F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1579C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A2EF-10CA-415C-BA42-63C2C7E9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39</cp:revision>
  <cp:lastPrinted>2022-05-24T07:30:00Z</cp:lastPrinted>
  <dcterms:created xsi:type="dcterms:W3CDTF">2022-05-24T07:31:00Z</dcterms:created>
  <dcterms:modified xsi:type="dcterms:W3CDTF">2025-05-26T07:05:00Z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