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03" w:rsidRDefault="001963C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Техническое задание</w:t>
      </w:r>
    </w:p>
    <w:p w:rsidR="00383E03" w:rsidRPr="00466A3D" w:rsidRDefault="001963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Общие требования: </w:t>
      </w:r>
      <w:r w:rsidRPr="00466A3D">
        <w:rPr>
          <w:rFonts w:ascii="Times New Roman" w:eastAsia="Times New Roman" w:hAnsi="Times New Roman" w:cs="Times New Roman"/>
          <w:bCs/>
          <w:iCs/>
          <w:lang w:eastAsia="ru-RU"/>
        </w:rPr>
        <w:t xml:space="preserve">Моющие средства заводского производства </w:t>
      </w:r>
    </w:p>
    <w:p w:rsidR="00466A3D" w:rsidRPr="00466A3D" w:rsidRDefault="00466A3D">
      <w:pPr>
        <w:pStyle w:val="afc"/>
        <w:tabs>
          <w:tab w:val="clear" w:pos="2509"/>
          <w:tab w:val="left" w:pos="426"/>
          <w:tab w:val="left" w:pos="709"/>
          <w:tab w:val="left" w:pos="1620"/>
        </w:tabs>
        <w:spacing w:line="240" w:lineRule="auto"/>
        <w:ind w:left="0" w:firstLine="0"/>
        <w:rPr>
          <w:rStyle w:val="afd"/>
          <w:b w:val="0"/>
          <w:i w:val="0"/>
          <w:iCs w:val="0"/>
          <w:sz w:val="22"/>
          <w:szCs w:val="22"/>
        </w:rPr>
      </w:pPr>
      <w:r w:rsidRPr="00466A3D">
        <w:rPr>
          <w:rStyle w:val="afd"/>
          <w:i w:val="0"/>
          <w:iCs w:val="0"/>
          <w:sz w:val="22"/>
          <w:szCs w:val="22"/>
        </w:rPr>
        <w:t xml:space="preserve">ОКПД 2: </w:t>
      </w:r>
      <w:r w:rsidRPr="00466A3D">
        <w:rPr>
          <w:color w:val="333333"/>
          <w:sz w:val="22"/>
          <w:szCs w:val="22"/>
          <w:shd w:val="clear" w:color="auto" w:fill="FFFFFF"/>
        </w:rPr>
        <w:t>20.41.32.110</w:t>
      </w:r>
    </w:p>
    <w:p w:rsidR="00383E03" w:rsidRPr="00466A3D" w:rsidRDefault="00466A3D" w:rsidP="00466A3D">
      <w:pPr>
        <w:pStyle w:val="afc"/>
        <w:tabs>
          <w:tab w:val="clear" w:pos="2509"/>
          <w:tab w:val="left" w:pos="426"/>
          <w:tab w:val="left" w:pos="709"/>
          <w:tab w:val="left" w:pos="1620"/>
        </w:tabs>
        <w:spacing w:line="240" w:lineRule="auto"/>
        <w:ind w:left="0" w:firstLine="0"/>
        <w:rPr>
          <w:b/>
          <w:bCs/>
          <w:sz w:val="22"/>
          <w:szCs w:val="22"/>
        </w:rPr>
      </w:pPr>
      <w:r w:rsidRPr="00466A3D">
        <w:rPr>
          <w:rStyle w:val="afd"/>
          <w:i w:val="0"/>
          <w:iCs w:val="0"/>
          <w:sz w:val="22"/>
          <w:szCs w:val="22"/>
        </w:rPr>
        <w:t xml:space="preserve">Обязательные требования: </w:t>
      </w:r>
      <w:r w:rsidR="001963C3" w:rsidRPr="00466A3D">
        <w:rPr>
          <w:bCs/>
          <w:sz w:val="22"/>
          <w:szCs w:val="22"/>
        </w:rPr>
        <w:t>Продукция должна соответствовать требованиям действующих на территории РФ нормативно-технических документов и иметь сертификаты соответствия, подтверждающие заявленные характеристики (предоставляются при поставке товара).</w:t>
      </w:r>
    </w:p>
    <w:p w:rsidR="00383E03" w:rsidRPr="00466A3D" w:rsidRDefault="001963C3">
      <w:pPr>
        <w:tabs>
          <w:tab w:val="left" w:pos="426"/>
          <w:tab w:val="left" w:pos="709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6A3D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Обязательные требования: </w:t>
      </w:r>
      <w:r w:rsidR="00466A3D" w:rsidRPr="00466A3D">
        <w:rPr>
          <w:rFonts w:ascii="Times New Roman" w:eastAsia="Times New Roman" w:hAnsi="Times New Roman" w:cs="Times New Roman"/>
          <w:bCs/>
          <w:iCs/>
          <w:lang w:eastAsia="ru-RU"/>
        </w:rPr>
        <w:t>Доставка т</w:t>
      </w:r>
      <w:r w:rsidRPr="00466A3D">
        <w:rPr>
          <w:rFonts w:ascii="Times New Roman" w:eastAsia="Times New Roman" w:hAnsi="Times New Roman" w:cs="Times New Roman"/>
          <w:bCs/>
          <w:iCs/>
          <w:lang w:eastAsia="ru-RU"/>
        </w:rPr>
        <w:t xml:space="preserve">овара </w:t>
      </w:r>
      <w:r w:rsidR="00466A3D">
        <w:rPr>
          <w:rFonts w:ascii="Times New Roman" w:eastAsia="Times New Roman" w:hAnsi="Times New Roman" w:cs="Times New Roman"/>
          <w:bCs/>
          <w:iCs/>
          <w:lang w:eastAsia="ru-RU"/>
        </w:rPr>
        <w:t>силами и за счет поставщика до склада п</w:t>
      </w:r>
      <w:r w:rsidRPr="00466A3D">
        <w:rPr>
          <w:rFonts w:ascii="Times New Roman" w:eastAsia="Times New Roman" w:hAnsi="Times New Roman" w:cs="Times New Roman"/>
          <w:bCs/>
          <w:iCs/>
          <w:lang w:eastAsia="ru-RU"/>
        </w:rPr>
        <w:t>окупателя г. Челябинск ул. Радонежская, 5</w:t>
      </w:r>
    </w:p>
    <w:p w:rsidR="00383E03" w:rsidRPr="00466A3D" w:rsidRDefault="001963C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66A3D">
        <w:rPr>
          <w:rFonts w:ascii="Times New Roman" w:eastAsia="Times New Roman" w:hAnsi="Times New Roman" w:cs="Times New Roman"/>
          <w:b/>
          <w:bCs/>
          <w:lang w:eastAsia="ru-RU"/>
        </w:rPr>
        <w:t>Срок поставки</w:t>
      </w:r>
      <w:r w:rsidR="00466A3D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466A3D">
        <w:rPr>
          <w:rFonts w:ascii="Times New Roman" w:eastAsia="Times New Roman" w:hAnsi="Times New Roman" w:cs="Times New Roman"/>
          <w:bCs/>
          <w:lang w:eastAsia="ru-RU"/>
        </w:rPr>
        <w:t xml:space="preserve"> партиями ежемесячно по </w:t>
      </w:r>
      <w:r w:rsidR="00466A3D">
        <w:rPr>
          <w:rFonts w:ascii="Times New Roman" w:eastAsia="Times New Roman" w:hAnsi="Times New Roman" w:cs="Times New Roman"/>
          <w:bCs/>
          <w:lang w:eastAsia="ru-RU"/>
        </w:rPr>
        <w:t xml:space="preserve">спецификациям в </w:t>
      </w:r>
      <w:r w:rsidR="00126847" w:rsidRPr="00466A3D">
        <w:rPr>
          <w:rFonts w:ascii="Times New Roman" w:eastAsia="Times New Roman" w:hAnsi="Times New Roman" w:cs="Times New Roman"/>
          <w:bCs/>
          <w:lang w:eastAsia="ru-RU"/>
        </w:rPr>
        <w:t>1 кв</w:t>
      </w:r>
      <w:r w:rsidR="00466A3D">
        <w:rPr>
          <w:rFonts w:ascii="Times New Roman" w:eastAsia="Times New Roman" w:hAnsi="Times New Roman" w:cs="Times New Roman"/>
          <w:bCs/>
          <w:lang w:eastAsia="ru-RU"/>
        </w:rPr>
        <w:t xml:space="preserve">артале </w:t>
      </w:r>
      <w:r w:rsidRPr="00466A3D">
        <w:rPr>
          <w:rFonts w:ascii="Times New Roman" w:eastAsia="Times New Roman" w:hAnsi="Times New Roman" w:cs="Times New Roman"/>
          <w:bCs/>
          <w:lang w:eastAsia="ru-RU"/>
        </w:rPr>
        <w:t xml:space="preserve">2026 года. </w:t>
      </w:r>
    </w:p>
    <w:p w:rsidR="00383E03" w:rsidRDefault="00466A3D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Гарантия:</w:t>
      </w:r>
      <w:r w:rsidR="001963C3" w:rsidRPr="00466A3D">
        <w:rPr>
          <w:rFonts w:ascii="Times New Roman" w:eastAsia="Times New Roman" w:hAnsi="Times New Roman" w:cs="Times New Roman"/>
          <w:bCs/>
          <w:lang w:eastAsia="ru-RU"/>
        </w:rPr>
        <w:t xml:space="preserve"> не менее 1 года </w:t>
      </w:r>
      <w:r w:rsidR="001963C3" w:rsidRPr="00466A3D">
        <w:rPr>
          <w:rFonts w:ascii="Times New Roman" w:eastAsia="Calibri" w:hAnsi="Times New Roman" w:cs="Times New Roman"/>
        </w:rPr>
        <w:t xml:space="preserve">со дня поставки </w:t>
      </w:r>
      <w:r>
        <w:rPr>
          <w:rFonts w:ascii="Times New Roman" w:eastAsia="Calibri" w:hAnsi="Times New Roman" w:cs="Times New Roman"/>
        </w:rPr>
        <w:t>п</w:t>
      </w:r>
      <w:r w:rsidR="001963C3" w:rsidRPr="00466A3D">
        <w:rPr>
          <w:rFonts w:ascii="Times New Roman" w:eastAsia="Calibri" w:hAnsi="Times New Roman" w:cs="Times New Roman"/>
        </w:rPr>
        <w:t>окупателю</w:t>
      </w:r>
      <w:r w:rsidR="001963C3" w:rsidRPr="00466A3D">
        <w:rPr>
          <w:rFonts w:ascii="Times New Roman" w:eastAsia="Times New Roman" w:hAnsi="Times New Roman" w:cs="Times New Roman"/>
          <w:bCs/>
          <w:lang w:eastAsia="ru-RU"/>
        </w:rPr>
        <w:t>. Замена некачественной продукции в течение</w:t>
      </w:r>
      <w:r w:rsidR="001963C3">
        <w:rPr>
          <w:rFonts w:ascii="Times New Roman" w:eastAsia="Times New Roman" w:hAnsi="Times New Roman" w:cs="Times New Roman"/>
          <w:bCs/>
          <w:lang w:eastAsia="ru-RU"/>
        </w:rPr>
        <w:t xml:space="preserve"> 3 (трех) дней после уведомления </w:t>
      </w: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="001963C3">
        <w:rPr>
          <w:rFonts w:ascii="Times New Roman" w:eastAsia="Times New Roman" w:hAnsi="Times New Roman" w:cs="Times New Roman"/>
          <w:bCs/>
          <w:lang w:eastAsia="ru-RU"/>
        </w:rPr>
        <w:t>оставщика.</w:t>
      </w:r>
    </w:p>
    <w:tbl>
      <w:tblPr>
        <w:tblStyle w:val="afe"/>
        <w:tblpPr w:leftFromText="180" w:rightFromText="180" w:vertAnchor="text" w:horzAnchor="margin" w:tblpXSpec="right" w:tblpY="302"/>
        <w:tblW w:w="0" w:type="auto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2559"/>
        <w:gridCol w:w="7505"/>
      </w:tblGrid>
      <w:tr w:rsidR="00725915" w:rsidTr="003A3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  <w:noWrap/>
          </w:tcPr>
          <w:p w:rsidR="00725915" w:rsidRPr="00466A3D" w:rsidRDefault="00725915" w:rsidP="0072591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6A3D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2559" w:type="dxa"/>
            <w:shd w:val="clear" w:color="auto" w:fill="auto"/>
            <w:noWrap/>
          </w:tcPr>
          <w:p w:rsidR="00725915" w:rsidRPr="00466A3D" w:rsidRDefault="00725915" w:rsidP="007259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66A3D">
              <w:rPr>
                <w:rFonts w:ascii="Times New Roman" w:hAnsi="Times New Roman" w:cs="Times New Roman"/>
                <w:color w:val="auto"/>
              </w:rPr>
              <w:t>Товар</w:t>
            </w:r>
          </w:p>
        </w:tc>
        <w:tc>
          <w:tcPr>
            <w:tcW w:w="7505" w:type="dxa"/>
            <w:shd w:val="clear" w:color="auto" w:fill="auto"/>
            <w:noWrap/>
          </w:tcPr>
          <w:p w:rsidR="00725915" w:rsidRPr="00466A3D" w:rsidRDefault="00725915" w:rsidP="007259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66A3D">
              <w:rPr>
                <w:rFonts w:ascii="Times New Roman" w:hAnsi="Times New Roman" w:cs="Times New Roman"/>
                <w:color w:val="auto"/>
              </w:rPr>
              <w:t>Описание</w:t>
            </w:r>
          </w:p>
        </w:tc>
      </w:tr>
      <w:tr w:rsidR="00725915" w:rsidRPr="00725915" w:rsidTr="003A3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725915" w:rsidRDefault="00725915" w:rsidP="007259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9" w:type="dxa"/>
          </w:tcPr>
          <w:p w:rsidR="00725915" w:rsidRDefault="00725915" w:rsidP="007259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5915">
              <w:rPr>
                <w:rFonts w:ascii="Times New Roman" w:hAnsi="Times New Roman" w:cs="Times New Roman"/>
              </w:rPr>
              <w:t>Компомол Щ Калгон Эко. (канистра 28 кг)</w:t>
            </w:r>
          </w:p>
        </w:tc>
        <w:tc>
          <w:tcPr>
            <w:tcW w:w="7505" w:type="dxa"/>
          </w:tcPr>
          <w:p w:rsidR="00725915" w:rsidRP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Представляет собой концентрированное беспенное щелочное моющее средство содержащее : едкие щелочи, поверхностно-активные вещества, комплексообразователи, предназн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аче</w:t>
            </w:r>
            <w:r w:rsidRPr="009947A7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 для</w:t>
            </w:r>
            <w:r w:rsidRPr="0072591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циркуляционной мойки трубопроводов, танков, фильтров, пастеризаторов </w:t>
            </w:r>
            <w:r w:rsidRPr="009947A7">
              <w:rPr>
                <w:rFonts w:ascii="Times New Roman" w:hAnsi="Times New Roman" w:cs="Times New Roman"/>
              </w:rPr>
              <w:t>в пищевой промышленности.</w:t>
            </w:r>
            <w:r w:rsidRPr="00725915">
              <w:rPr>
                <w:rFonts w:ascii="Times New Roman" w:hAnsi="Times New Roman" w:cs="Times New Roman"/>
              </w:rPr>
              <w:t xml:space="preserve"> 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Преимущества: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эффективно удаляет белковые и жировые загрязнения;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подходит для ручной и автоматической мойки;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композиция хорошо растворима в воде;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-компоненты средства биологически разлагаемы.</w:t>
            </w:r>
          </w:p>
          <w:p w:rsidR="00725915" w:rsidRP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Дозировка: </w:t>
            </w:r>
            <w:r w:rsidRPr="009947A7">
              <w:rPr>
                <w:rFonts w:ascii="Times New Roman" w:hAnsi="Times New Roman" w:cs="Times New Roman"/>
              </w:rPr>
              <w:t>0,5 - 0,7%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5915" w:rsidRPr="00725915" w:rsidTr="003A3E3F">
        <w:trPr>
          <w:trHeight w:val="2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725915" w:rsidRDefault="00725915" w:rsidP="007259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9" w:type="dxa"/>
          </w:tcPr>
          <w:p w:rsidR="00725915" w:rsidRDefault="00725915" w:rsidP="007259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5915">
              <w:rPr>
                <w:rFonts w:ascii="Times New Roman" w:hAnsi="Times New Roman" w:cs="Times New Roman"/>
              </w:rPr>
              <w:t>Компомол К Калгон Эко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25915">
              <w:rPr>
                <w:rFonts w:ascii="Times New Roman" w:hAnsi="Times New Roman" w:cs="Times New Roman"/>
              </w:rPr>
              <w:t xml:space="preserve"> канистра 24 кг)</w:t>
            </w:r>
          </w:p>
        </w:tc>
        <w:tc>
          <w:tcPr>
            <w:tcW w:w="7505" w:type="dxa"/>
          </w:tcPr>
          <w:p w:rsidR="00725915" w:rsidRDefault="00725915" w:rsidP="007259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Представляет собой концентрированное беспенное моющее средство на основе азотной кислоты.</w:t>
            </w:r>
          </w:p>
          <w:p w:rsidR="00725915" w:rsidRPr="00725915" w:rsidRDefault="00725915" w:rsidP="007259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Предназначен</w:t>
            </w:r>
            <w:r w:rsidRPr="009947A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для циркуляционной мойки технологического оборудования и трубопроводов </w:t>
            </w:r>
            <w:r w:rsidRPr="009947A7">
              <w:rPr>
                <w:rFonts w:ascii="Times New Roman" w:hAnsi="Times New Roman" w:cs="Times New Roman"/>
              </w:rPr>
              <w:t xml:space="preserve">в пищевой промышленности от неорганических </w:t>
            </w:r>
            <w:r>
              <w:rPr>
                <w:rFonts w:ascii="Times New Roman" w:hAnsi="Times New Roman" w:cs="Times New Roman"/>
              </w:rPr>
              <w:t>компонентов молочного, пивного, винного камня, солей жесткости воды.</w:t>
            </w:r>
          </w:p>
          <w:p w:rsidR="00725915" w:rsidRDefault="00725915" w:rsidP="007259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Преимущества:</w:t>
            </w:r>
          </w:p>
          <w:p w:rsidR="00725915" w:rsidRDefault="00725915" w:rsidP="007259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эффективно удаляет минеральные отложения </w:t>
            </w:r>
            <w:r w:rsidRPr="00725915">
              <w:rPr>
                <w:rFonts w:ascii="Times New Roman" w:hAnsi="Times New Roman" w:cs="Times New Roman"/>
              </w:rPr>
              <w:t xml:space="preserve"> </w:t>
            </w:r>
            <w:r w:rsidRPr="009947A7">
              <w:rPr>
                <w:rFonts w:ascii="Times New Roman" w:hAnsi="Times New Roman" w:cs="Times New Roman"/>
              </w:rPr>
              <w:t>винный камень</w:t>
            </w:r>
            <w:r>
              <w:rPr>
                <w:rFonts w:ascii="Times New Roman" w:hAnsi="Times New Roman" w:cs="Times New Roman"/>
              </w:rPr>
              <w:t>, отложение солей жесткости);</w:t>
            </w:r>
          </w:p>
          <w:p w:rsidR="00725915" w:rsidRDefault="00725915" w:rsidP="007259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разрушает застарелые загрязнения;</w:t>
            </w:r>
          </w:p>
          <w:p w:rsidR="00725915" w:rsidRDefault="00725915" w:rsidP="007259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подходит для ручной, автоматической мойки;</w:t>
            </w:r>
          </w:p>
          <w:p w:rsidR="00725915" w:rsidRDefault="00725915" w:rsidP="007259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легко смывается водой без образования пленки;</w:t>
            </w:r>
          </w:p>
          <w:p w:rsidR="00725915" w:rsidRDefault="00725915" w:rsidP="007259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пожаро- и взрывобезопасен.</w:t>
            </w:r>
          </w:p>
          <w:p w:rsidR="00725915" w:rsidRPr="00725915" w:rsidRDefault="00725915" w:rsidP="007259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  <w:r w:rsidRPr="009947A7">
              <w:rPr>
                <w:rFonts w:ascii="Times New Roman" w:hAnsi="Times New Roman" w:cs="Times New Roman"/>
              </w:rPr>
              <w:t>:</w:t>
            </w:r>
            <w:r w:rsidRPr="00725915">
              <w:rPr>
                <w:rFonts w:ascii="Times New Roman" w:hAnsi="Times New Roman" w:cs="Times New Roman"/>
              </w:rPr>
              <w:t xml:space="preserve"> </w:t>
            </w:r>
            <w:r w:rsidRPr="009947A7">
              <w:rPr>
                <w:rFonts w:ascii="Times New Roman" w:hAnsi="Times New Roman" w:cs="Times New Roman"/>
              </w:rPr>
              <w:t>0,5 - 0,7%</w:t>
            </w:r>
          </w:p>
        </w:tc>
      </w:tr>
      <w:tr w:rsidR="00725915" w:rsidRPr="00725915" w:rsidTr="003A3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725915" w:rsidRDefault="00725915" w:rsidP="007259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9" w:type="dxa"/>
          </w:tcPr>
          <w:p w:rsidR="00725915" w:rsidRDefault="00725915" w:rsidP="007259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Компомол ДЗ НУК. (</w:t>
            </w:r>
            <w:r w:rsidRPr="00725915">
              <w:rPr>
                <w:rFonts w:ascii="Times New Roman" w:hAnsi="Times New Roman" w:cs="Times New Roman"/>
              </w:rPr>
              <w:t>канистра 30кг)</w:t>
            </w:r>
          </w:p>
        </w:tc>
        <w:tc>
          <w:tcPr>
            <w:tcW w:w="7505" w:type="dxa"/>
          </w:tcPr>
          <w:p w:rsidR="00725915" w:rsidRPr="009947A7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47A7">
              <w:rPr>
                <w:rFonts w:ascii="Times New Roman" w:hAnsi="Times New Roman" w:cs="Times New Roman"/>
              </w:rPr>
              <w:t>Представляет собой беспенное низкотемпературное дезинфицирующее средство на основе надуксусной кислоты и перекиси водорода.</w:t>
            </w:r>
          </w:p>
          <w:p w:rsidR="00725915" w:rsidRPr="009947A7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47A7">
              <w:rPr>
                <w:rFonts w:ascii="Times New Roman" w:hAnsi="Times New Roman" w:cs="Times New Roman"/>
              </w:rPr>
              <w:t>Предназанчено для дезинфекции технологического оборудования, инвентаря, тары, полиэфирных бутылок (ПЭТ, ПЭН), трубопроводов в пищевой промышленности. Применяется для снижения микробной обсемененности на предприятияхв пивобезалкогольной и ликероводочной промышленности.</w:t>
            </w:r>
          </w:p>
          <w:p w:rsidR="00725915" w:rsidRPr="009947A7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47A7">
              <w:rPr>
                <w:rFonts w:ascii="Times New Roman" w:hAnsi="Times New Roman" w:cs="Times New Roman"/>
              </w:rPr>
              <w:t>Преимущества: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-обладает антимикробным действием в отношении грамотрицательных и грамположительных бактерий (включая микобактерии туберкулеза), вирусов (включая аденовирусы, вирусы гриппа, парагриппа, «птичьего» гриппа H5N1, «свиного» гриппа H1N1 и других возбудителей острых респираторных инфекций, энтеровирусы, ротавирусы, вирус полиомиелита, вирусы энтеральных, парентеральных гепатитов, герпеса, атипичной пневмонии, ВИЧ-инфекции и др.), грибов рода Кандида, Трихофитон, плесневых грибов (тестировано на тест-штамме Aspergillus niger), возбудителей внутрибольничных и анаэробных инфекций;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средство обладает спороцидными свойствами (согласно экспертному заключению от ФГУ «РНИИТО им. Р.Р. Вредена» Минздравсоцразвития России);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-рабочие растворы средства не оказывают сенсибилизирующего действия, не вызывают местно-раздражающего действия на кожу;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-отсутствует резистентность микроорганизмов к дезинфицирующему средству;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-средство экологически безопасно, биоразлагаемо - распадается на воду, двуокись углерода и кислород;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 соблюдении рекомендуемых концентраций нержавеющая сталь и алюминий устойчивы к воздействию применяемого раствора;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-средство эффективно в широком диапазоне температур, от 5 до 40</w:t>
            </w:r>
            <w:r w:rsidRPr="0072591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С;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-используется для циркуляционного метода в т.ч. в CIP-мойки, ручной мойки, методом орошения, заполнения и для мойки методом погружения.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Состав: надуксусная кислота, перекись водорода, уксусная кислота, ПАВ.</w:t>
            </w:r>
          </w:p>
          <w:p w:rsidR="00725915" w:rsidRP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надуксусной кислоты: 15%.</w:t>
            </w:r>
          </w:p>
        </w:tc>
      </w:tr>
      <w:tr w:rsidR="00725915" w:rsidRPr="00725915" w:rsidTr="003A3E3F">
        <w:trPr>
          <w:trHeight w:val="3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725915" w:rsidRDefault="00725915" w:rsidP="007259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9" w:type="dxa"/>
          </w:tcPr>
          <w:p w:rsidR="00725915" w:rsidRDefault="00725915" w:rsidP="007259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Компомол Щ СУПЕР F.(</w:t>
            </w:r>
            <w:r w:rsidRPr="00725915">
              <w:rPr>
                <w:rFonts w:ascii="Times New Roman" w:hAnsi="Times New Roman" w:cs="Times New Roman"/>
              </w:rPr>
              <w:t>канистра 24 кг)</w:t>
            </w:r>
          </w:p>
        </w:tc>
        <w:tc>
          <w:tcPr>
            <w:tcW w:w="7505" w:type="dxa"/>
          </w:tcPr>
          <w:p w:rsidR="00725915" w:rsidRPr="009947A7" w:rsidRDefault="00725915" w:rsidP="00110C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47A7">
              <w:rPr>
                <w:rFonts w:ascii="Times New Roman" w:hAnsi="Times New Roman" w:cs="Times New Roman"/>
              </w:rPr>
              <w:t>Представляет собой концентрированное пенное моющим средство с активным хлором. для наружной мойки.</w:t>
            </w:r>
          </w:p>
          <w:p w:rsidR="00725915" w:rsidRPr="00725915" w:rsidRDefault="00725915" w:rsidP="00110C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47A7">
              <w:rPr>
                <w:rFonts w:ascii="Times New Roman" w:hAnsi="Times New Roman" w:cs="Times New Roman"/>
              </w:rPr>
              <w:t>Предназначено</w:t>
            </w:r>
            <w:r>
              <w:rPr>
                <w:rFonts w:ascii="Times New Roman" w:hAnsi="Times New Roman" w:cs="Times New Roman"/>
              </w:rPr>
              <w:t xml:space="preserve"> для комбинированной наружной мойки и дезинфекции пищевого оборудования </w:t>
            </w:r>
          </w:p>
          <w:p w:rsidR="00725915" w:rsidRDefault="00725915" w:rsidP="00110C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Преимущества</w:t>
            </w:r>
          </w:p>
          <w:p w:rsidR="00725915" w:rsidRDefault="00725915" w:rsidP="00110C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обладает дезинфицирующим эффектом в отношении патогенной микрофлоры </w:t>
            </w:r>
          </w:p>
          <w:p w:rsidR="00725915" w:rsidRPr="009947A7" w:rsidRDefault="00725915" w:rsidP="00110C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47A7">
              <w:rPr>
                <w:rFonts w:ascii="Times New Roman" w:hAnsi="Times New Roman" w:cs="Times New Roman"/>
              </w:rPr>
              <w:t>-эффективно удаляет белково-жировые отложения в воде повышенной жесткости;</w:t>
            </w:r>
          </w:p>
          <w:p w:rsidR="00725915" w:rsidRDefault="00725915" w:rsidP="00110C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подходит для ручной и автоматической мойки;</w:t>
            </w:r>
          </w:p>
          <w:p w:rsidR="00725915" w:rsidRDefault="00725915" w:rsidP="00110C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композиция хорошо растворима в воде.</w:t>
            </w:r>
          </w:p>
          <w:p w:rsidR="00725915" w:rsidRDefault="00725915" w:rsidP="00110C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активного хлора,</w:t>
            </w:r>
          </w:p>
          <w:p w:rsidR="00725915" w:rsidRPr="00466A3D" w:rsidRDefault="00725915" w:rsidP="00110C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г/дм3,не менее 45,0</w:t>
            </w:r>
          </w:p>
        </w:tc>
      </w:tr>
      <w:tr w:rsidR="00725915" w:rsidRPr="00725915" w:rsidTr="003A3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725915" w:rsidRDefault="00725915" w:rsidP="007259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25915" w:rsidRDefault="00725915" w:rsidP="007259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725915" w:rsidRDefault="00725915" w:rsidP="007259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Компомол Щ  Калгон ПВ высокоэффективное, сильнощелочное моющее средство с высоким содержанием комплексообразователей и диспергаторов</w:t>
            </w:r>
          </w:p>
        </w:tc>
        <w:tc>
          <w:tcPr>
            <w:tcW w:w="7505" w:type="dxa"/>
          </w:tcPr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Области применения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«Компомол Щ Калгон ПВ» предназначен для циркуляционной CIP мойки трубопроводов, варочных, бродильных и лагерных танков, фильтров, пастеризаторов, а также пивных бочек и КЕГ, линий розлива.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Преимущества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 эффективно удаляет белковые загрязнения, дрожжи, сахара; </w:t>
            </w:r>
            <w:r>
              <w:rPr>
                <w:rFonts w:ascii="Times New Roman" w:hAnsi="Times New Roman" w:cs="Times New Roman"/>
              </w:rPr>
              <w:t> подходит для ручной  и автоматической мойки, CIP мойки;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 композиция хорошо растворима в воде;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 средство пожаро- и взрывобезопасно;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 компоненты средства биологически разлагаемы.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Едкие щелочи, органические комплексообразователи, диспергаторы, ингибиторы коррозии.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Спецификация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Прозрачная слегка желтоватая жидкость рН (1 %)  ~12,7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ρ (20 °С),г/см³  1,37 ± 0,007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концентрации рабочего раствора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Титрование 0,1 Н раствором соляной кислоты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Взять 10 мл исследуемого раствора, добавить 2 капли индикатора фенолфталеина и титровать 0,1 Н раствором соляной кислоты до обесцвечивания.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продукта в растворе определяется по следующей формуле: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С=0,1275*V, где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– концентрация продукта в растворе, масс. %;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 – объем 0,1 Н раствора соляной кислоты, затраченной на титрование, мл.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Титрование 0,1 Н раствором серной кислоты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Взять 10 мл исследуемого раствора, добавить 2 капли индикатора фенолфталеина и титровать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 Н раствором серной кислоты до обесцвечивания.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продукта в растворе определяется по следующей формуле: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С=0,1301*V, где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– концентрация продукта в растворе, масс. %;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 – объем 0,1 Н раствора серной кислоты, затраченной на титрование, мл.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указания</w:t>
            </w:r>
          </w:p>
          <w:p w:rsidR="00725915" w:rsidRDefault="00725915" w:rsidP="0011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удаления остатков продукта после применения необходимо тщательно промыть обрабатываемые поверхности водой. Для обработки алюминия </w:t>
            </w:r>
            <w:r>
              <w:rPr>
                <w:rFonts w:ascii="Times New Roman" w:hAnsi="Times New Roman" w:cs="Times New Roman"/>
              </w:rPr>
              <w:lastRenderedPageBreak/>
              <w:t>данный продукт не пригоден</w:t>
            </w:r>
          </w:p>
        </w:tc>
      </w:tr>
    </w:tbl>
    <w:p w:rsidR="00383E03" w:rsidRDefault="00383E03" w:rsidP="00725915">
      <w:pPr>
        <w:spacing w:after="0" w:line="240" w:lineRule="auto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</w:rPr>
      </w:pPr>
    </w:p>
    <w:p w:rsidR="00383E03" w:rsidRDefault="00383E03">
      <w:pPr>
        <w:spacing w:line="240" w:lineRule="auto"/>
        <w:rPr>
          <w:rFonts w:ascii="Times New Roman" w:hAnsi="Times New Roman" w:cs="Times New Roman"/>
        </w:rPr>
      </w:pPr>
    </w:p>
    <w:p w:rsidR="00383E03" w:rsidRDefault="00383E03">
      <w:pPr>
        <w:spacing w:line="240" w:lineRule="auto"/>
        <w:rPr>
          <w:rFonts w:ascii="Times New Roman" w:hAnsi="Times New Roman" w:cs="Times New Roman"/>
        </w:rPr>
      </w:pPr>
    </w:p>
    <w:sectPr w:rsidR="00383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B2" w:rsidRDefault="008426B2">
      <w:pPr>
        <w:spacing w:after="0" w:line="240" w:lineRule="auto"/>
      </w:pPr>
      <w:r>
        <w:separator/>
      </w:r>
    </w:p>
  </w:endnote>
  <w:endnote w:type="continuationSeparator" w:id="0">
    <w:p w:rsidR="008426B2" w:rsidRDefault="0084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B2" w:rsidRDefault="008426B2">
      <w:pPr>
        <w:spacing w:after="0" w:line="240" w:lineRule="auto"/>
      </w:pPr>
      <w:r>
        <w:separator/>
      </w:r>
    </w:p>
  </w:footnote>
  <w:footnote w:type="continuationSeparator" w:id="0">
    <w:p w:rsidR="008426B2" w:rsidRDefault="00842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116A"/>
    <w:multiLevelType w:val="hybridMultilevel"/>
    <w:tmpl w:val="93C8D352"/>
    <w:lvl w:ilvl="0" w:tplc="837C9B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E3A7B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F7CE6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6C11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885F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2070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640DB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3B840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65047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7DB33EF"/>
    <w:multiLevelType w:val="hybridMultilevel"/>
    <w:tmpl w:val="439AF252"/>
    <w:lvl w:ilvl="0" w:tplc="F244C51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E7A95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EA4D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5D8F4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B029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70EB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4BCB4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7055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5CC12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7532FBC"/>
    <w:multiLevelType w:val="hybridMultilevel"/>
    <w:tmpl w:val="EE5A7816"/>
    <w:lvl w:ilvl="0" w:tplc="6F267A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D040C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0E5A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F208D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18BE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4003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80A8D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A6402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F5C72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6364A0C"/>
    <w:multiLevelType w:val="hybridMultilevel"/>
    <w:tmpl w:val="D5DA864E"/>
    <w:lvl w:ilvl="0" w:tplc="DADE0B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D3A265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B04E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2685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07626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1960B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A78B0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D4F7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B6219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F39530E"/>
    <w:multiLevelType w:val="hybridMultilevel"/>
    <w:tmpl w:val="0F56B528"/>
    <w:lvl w:ilvl="0" w:tplc="404893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E1C80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04691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7A49D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ED4C9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50671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5434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D091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FCA5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31D180B"/>
    <w:multiLevelType w:val="hybridMultilevel"/>
    <w:tmpl w:val="230E3484"/>
    <w:lvl w:ilvl="0" w:tplc="25CC47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D8EA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26ADC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A2BB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D9E3E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2AD3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9C25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5464B5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6DC32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6CE0A60"/>
    <w:multiLevelType w:val="hybridMultilevel"/>
    <w:tmpl w:val="7F22B0C4"/>
    <w:lvl w:ilvl="0" w:tplc="021439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6D403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AC2C2F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B723F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2A43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D925C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860D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B6A93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37EE16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6E33287"/>
    <w:multiLevelType w:val="hybridMultilevel"/>
    <w:tmpl w:val="692C5470"/>
    <w:lvl w:ilvl="0" w:tplc="A8FAEE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C0F4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C63B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6C2AF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B8C8D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06ADB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88F0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6C4DD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070A6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03"/>
    <w:rsid w:val="000D4BD0"/>
    <w:rsid w:val="00110C44"/>
    <w:rsid w:val="00126847"/>
    <w:rsid w:val="00194630"/>
    <w:rsid w:val="001963C3"/>
    <w:rsid w:val="00327E17"/>
    <w:rsid w:val="00383E03"/>
    <w:rsid w:val="003A3E3F"/>
    <w:rsid w:val="00466A3D"/>
    <w:rsid w:val="00485F79"/>
    <w:rsid w:val="00577B48"/>
    <w:rsid w:val="00667F3C"/>
    <w:rsid w:val="00725915"/>
    <w:rsid w:val="007964AD"/>
    <w:rsid w:val="008426B2"/>
    <w:rsid w:val="009947A7"/>
    <w:rsid w:val="009A16F9"/>
    <w:rsid w:val="00B658A1"/>
    <w:rsid w:val="00BC0520"/>
    <w:rsid w:val="00CA399B"/>
    <w:rsid w:val="00D46E26"/>
    <w:rsid w:val="00E4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555CD-6934-4E88-BE30-AFCE589E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afc">
    <w:name w:val="Подпункт"/>
    <w:basedOn w:val="a"/>
    <w:pPr>
      <w:tabs>
        <w:tab w:val="num" w:pos="2509"/>
      </w:tabs>
      <w:spacing w:after="0" w:line="360" w:lineRule="auto"/>
      <w:ind w:left="2509" w:hanging="1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комментарий"/>
    <w:rPr>
      <w:rFonts w:cs="Times New Roman"/>
      <w:b/>
      <w:bCs/>
      <w:i/>
      <w:iCs/>
      <w:sz w:val="28"/>
      <w:szCs w:val="28"/>
    </w:rPr>
  </w:style>
  <w:style w:type="table" w:styleId="afe">
    <w:name w:val="Light List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2C3C5-BA64-49FB-AF31-45F02698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Kvartal4</dc:creator>
  <cp:lastModifiedBy>RePack by Diakov</cp:lastModifiedBy>
  <cp:revision>28</cp:revision>
  <dcterms:created xsi:type="dcterms:W3CDTF">2018-02-26T08:32:00Z</dcterms:created>
  <dcterms:modified xsi:type="dcterms:W3CDTF">2025-12-16T11:30:00Z</dcterms:modified>
</cp:coreProperties>
</file>