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rPr>
          <w:b/>
          <w:sz w:val="22"/>
          <w:szCs w:val="22"/>
        </w:rPr>
      </w:pP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Bdr/>
        <w:tabs>
          <w:tab w:val="left" w:leader="none" w:pos="7350"/>
        </w:tabs>
        <w:spacing w:line="240" w:lineRule="auto"/>
        <w:ind/>
        <w:jc w:val="right"/>
        <w:rPr>
          <w:szCs w:val="28"/>
        </w:rPr>
      </w:pPr>
      <w:r>
        <w:rPr>
          <w:szCs w:val="28"/>
        </w:rPr>
        <w:t xml:space="preserve">Утверждаю </w:t>
      </w:r>
      <w:r>
        <w:rPr>
          <w:szCs w:val="28"/>
        </w:rPr>
      </w:r>
    </w:p>
    <w:p>
      <w:pPr>
        <w:pBdr/>
        <w:tabs>
          <w:tab w:val="left" w:leader="none" w:pos="7350"/>
        </w:tabs>
        <w:spacing w:line="240" w:lineRule="auto"/>
        <w:ind/>
        <w:jc w:val="right"/>
        <w:rPr>
          <w:szCs w:val="28"/>
        </w:rPr>
      </w:pPr>
      <w:r>
        <w:rPr>
          <w:szCs w:val="28"/>
        </w:rPr>
        <w:t xml:space="preserve">Главный врач ГАУЗ СК «Георгиевская </w:t>
      </w:r>
      <w:r>
        <w:rPr>
          <w:szCs w:val="28"/>
        </w:rPr>
      </w:r>
    </w:p>
    <w:p>
      <w:pPr>
        <w:pBdr/>
        <w:tabs>
          <w:tab w:val="left" w:leader="none" w:pos="7350"/>
        </w:tabs>
        <w:spacing w:line="240" w:lineRule="auto"/>
        <w:ind/>
        <w:jc w:val="right"/>
        <w:rPr>
          <w:szCs w:val="28"/>
        </w:rPr>
      </w:pPr>
      <w:r>
        <w:rPr>
          <w:szCs w:val="28"/>
        </w:rPr>
        <w:t xml:space="preserve">стоматологическая поликлиника»</w:t>
      </w:r>
      <w:r>
        <w:rPr>
          <w:szCs w:val="28"/>
        </w:rPr>
      </w:r>
    </w:p>
    <w:p>
      <w:pPr>
        <w:pBdr/>
        <w:tabs>
          <w:tab w:val="left" w:leader="none" w:pos="7350"/>
        </w:tabs>
        <w:spacing w:line="240" w:lineRule="auto"/>
        <w:ind/>
        <w:jc w:val="right"/>
        <w:rPr>
          <w:szCs w:val="28"/>
        </w:rPr>
      </w:pPr>
      <w:r>
        <w:rPr>
          <w:szCs w:val="28"/>
        </w:rPr>
        <w:t xml:space="preserve">Д.Э.</w:t>
      </w:r>
      <w:r>
        <w:rPr>
          <w:szCs w:val="28"/>
        </w:rPr>
        <w:t xml:space="preserve"> </w:t>
      </w:r>
      <w:r>
        <w:rPr>
          <w:szCs w:val="28"/>
        </w:rPr>
        <w:t xml:space="preserve">Амбарцумов</w:t>
      </w:r>
      <w:r>
        <w:rPr>
          <w:szCs w:val="28"/>
        </w:rPr>
      </w:r>
    </w:p>
    <w:p>
      <w:pPr>
        <w:pBdr/>
        <w:tabs>
          <w:tab w:val="left" w:leader="none" w:pos="7350"/>
        </w:tabs>
        <w:spacing w:line="240" w:lineRule="auto"/>
        <w:ind/>
        <w:jc w:val="right"/>
        <w:rPr>
          <w:szCs w:val="28"/>
        </w:rPr>
      </w:pPr>
      <w:r>
        <w:rPr>
          <w:szCs w:val="28"/>
        </w:rPr>
      </w:r>
      <w:r>
        <w:rPr>
          <w:szCs w:val="28"/>
        </w:rPr>
      </w:r>
    </w:p>
    <w:p>
      <w:pPr>
        <w:pBdr/>
        <w:spacing w:line="240" w:lineRule="auto"/>
        <w:ind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«</w:t>
      </w:r>
      <w:r>
        <w:rPr>
          <w:sz w:val="22"/>
          <w:szCs w:val="22"/>
        </w:rPr>
        <w:t xml:space="preserve">30</w:t>
      </w:r>
      <w:r>
        <w:rPr>
          <w:sz w:val="22"/>
          <w:szCs w:val="22"/>
        </w:rPr>
        <w:t xml:space="preserve">» </w:t>
      </w:r>
      <w:r>
        <w:rPr>
          <w:sz w:val="22"/>
          <w:szCs w:val="22"/>
        </w:rPr>
        <w:t xml:space="preserve">апреля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2026</w:t>
      </w:r>
      <w:r>
        <w:rPr>
          <w:sz w:val="22"/>
          <w:szCs w:val="22"/>
        </w:rPr>
        <w:t xml:space="preserve"> г.</w:t>
      </w:r>
      <w:r>
        <w:rPr>
          <w:sz w:val="22"/>
          <w:szCs w:val="22"/>
        </w:rPr>
      </w:r>
    </w:p>
    <w:p>
      <w:pPr>
        <w:pBdr/>
        <w:spacing w:line="240" w:lineRule="auto"/>
        <w:ind/>
        <w:jc w:val="right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 w:line="240" w:lineRule="auto"/>
        <w:ind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</w:r>
    </w:p>
    <w:p>
      <w:pPr>
        <w:pBdr/>
        <w:spacing w:line="240" w:lineRule="auto"/>
        <w:ind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</w:r>
    </w:p>
    <w:p>
      <w:pPr>
        <w:pBdr/>
        <w:spacing w:line="240" w:lineRule="auto"/>
        <w:ind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Bdr/>
        <w:spacing w:line="240" w:lineRule="auto"/>
        <w:ind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Bdr/>
        <w:spacing w:line="240" w:lineRule="auto"/>
        <w:ind/>
        <w:jc w:val="center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 w:line="240" w:lineRule="auto"/>
        <w:ind/>
        <w:jc w:val="center"/>
        <w:rPr>
          <w:b/>
          <w:sz w:val="22"/>
          <w:szCs w:val="22"/>
          <w:highlight w:val="yellow"/>
        </w:rPr>
      </w:pPr>
      <w:r>
        <w:rPr>
          <w:b/>
          <w:sz w:val="22"/>
          <w:szCs w:val="22"/>
        </w:rPr>
        <w:t xml:space="preserve">ИЗВЕЩЕНИЕ</w:t>
      </w:r>
      <w:r>
        <w:rPr>
          <w:b/>
          <w:sz w:val="22"/>
          <w:szCs w:val="22"/>
        </w:rPr>
        <w:br/>
      </w:r>
      <w:r>
        <w:rPr>
          <w:b/>
          <w:sz w:val="22"/>
          <w:szCs w:val="22"/>
          <w:highlight w:val="yellow"/>
        </w:rPr>
        <w:t xml:space="preserve">о проведении запроса котировок в электронной форме на право заключить договор на поставку </w:t>
      </w:r>
      <w:r>
        <w:rPr>
          <w:b/>
          <w:sz w:val="22"/>
          <w:szCs w:val="22"/>
          <w:highlight w:val="yellow"/>
        </w:rPr>
        <w:t xml:space="preserve">препаратов стоматологических</w:t>
      </w:r>
      <w:r>
        <w:rPr>
          <w:b/>
          <w:sz w:val="22"/>
          <w:szCs w:val="22"/>
          <w:highlight w:val="yellow"/>
        </w:rPr>
      </w:r>
    </w:p>
    <w:p>
      <w:pPr>
        <w:pBdr/>
        <w:spacing w:line="240" w:lineRule="auto"/>
        <w:ind/>
        <w:jc w:val="center"/>
        <w:rPr>
          <w:rFonts w:eastAsia="Cambria"/>
          <w:b/>
          <w:sz w:val="22"/>
          <w:szCs w:val="22"/>
        </w:rPr>
      </w:pPr>
      <w:r>
        <w:rPr>
          <w:b/>
          <w:sz w:val="22"/>
          <w:szCs w:val="22"/>
          <w:highlight w:val="yellow"/>
        </w:rPr>
        <w:t xml:space="preserve"> для нужд</w:t>
      </w:r>
      <w:r>
        <w:rPr>
          <w:b/>
          <w:sz w:val="22"/>
          <w:szCs w:val="22"/>
          <w:highlight w:val="yellow"/>
        </w:rPr>
        <w:t xml:space="preserve"> </w:t>
      </w:r>
      <w:r>
        <w:rPr>
          <w:b/>
          <w:sz w:val="22"/>
          <w:szCs w:val="22"/>
          <w:highlight w:val="yellow"/>
        </w:rPr>
        <w:t xml:space="preserve">ортопедического отделения</w:t>
      </w:r>
      <w:r>
        <w:rPr>
          <w:b/>
          <w:sz w:val="22"/>
          <w:szCs w:val="22"/>
          <w:highlight w:val="yellow"/>
        </w:rPr>
        <w:t xml:space="preserve"> </w:t>
      </w:r>
      <w:r>
        <w:rPr>
          <w:b/>
          <w:sz w:val="22"/>
          <w:szCs w:val="22"/>
          <w:highlight w:val="yellow"/>
        </w:rPr>
        <w:t xml:space="preserve">государственного автономного учреждения здравоохранения Ставропольского края «Георгиевская стоматологическая поликлиника»</w:t>
      </w:r>
      <w:r>
        <w:rPr>
          <w:rFonts w:eastAsia="Cambria"/>
          <w:b/>
          <w:sz w:val="22"/>
          <w:szCs w:val="22"/>
        </w:rPr>
      </w:r>
    </w:p>
    <w:p>
      <w:pPr>
        <w:pBdr/>
        <w:spacing w:line="240" w:lineRule="auto"/>
        <w:ind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Bdr/>
        <w:spacing w:line="240" w:lineRule="auto"/>
        <w:ind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pBdr/>
        <w:spacing w:line="240" w:lineRule="auto"/>
        <w:ind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pBdr/>
        <w:spacing w:line="240" w:lineRule="auto"/>
        <w:ind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pBdr/>
        <w:spacing w:line="240" w:lineRule="auto"/>
        <w:ind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 w:line="240" w:lineRule="auto"/>
        <w:ind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 w:line="240" w:lineRule="auto"/>
        <w:ind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 w:line="240" w:lineRule="auto"/>
        <w:ind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 w:line="240" w:lineRule="auto"/>
        <w:ind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 w:line="240" w:lineRule="auto"/>
        <w:ind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pBdr/>
        <w:spacing w:line="240" w:lineRule="auto"/>
        <w:ind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pBdr/>
        <w:spacing w:line="240" w:lineRule="auto"/>
        <w:ind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pBdr/>
        <w:spacing w:line="240" w:lineRule="auto"/>
        <w:ind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pBdr/>
        <w:spacing w:line="240" w:lineRule="auto"/>
        <w:ind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pBdr/>
        <w:spacing w:line="240" w:lineRule="auto"/>
        <w:ind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pBdr/>
        <w:spacing w:line="240" w:lineRule="auto"/>
        <w:ind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pBdr/>
        <w:spacing w:line="240" w:lineRule="auto"/>
        <w:ind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pBdr/>
        <w:spacing w:line="240" w:lineRule="auto"/>
        <w:ind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 w:line="240" w:lineRule="auto"/>
        <w:ind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 w:line="240" w:lineRule="auto"/>
        <w:ind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 w:line="240" w:lineRule="auto"/>
        <w:ind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 w:line="240" w:lineRule="auto"/>
        <w:ind w:right="14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Bdr/>
        <w:spacing w:line="240" w:lineRule="auto"/>
        <w:ind w:right="14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Bdr/>
        <w:spacing w:line="240" w:lineRule="auto"/>
        <w:ind w:right="14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Bdr/>
        <w:spacing w:line="240" w:lineRule="auto"/>
        <w:ind w:right="14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Bdr/>
        <w:spacing w:line="240" w:lineRule="auto"/>
        <w:ind w:right="14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Bdr/>
        <w:spacing w:line="240" w:lineRule="auto"/>
        <w:ind w:right="14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Bdr/>
        <w:spacing w:line="240" w:lineRule="auto"/>
        <w:ind w:right="14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Bdr/>
        <w:spacing w:line="240" w:lineRule="auto"/>
        <w:ind w:right="14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Bdr/>
        <w:spacing w:line="240" w:lineRule="auto"/>
        <w:ind w:right="14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Bdr/>
        <w:spacing w:line="240" w:lineRule="auto"/>
        <w:ind w:right="14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Bdr/>
        <w:spacing w:line="240" w:lineRule="auto"/>
        <w:ind w:right="14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Bdr/>
        <w:spacing w:line="240" w:lineRule="auto"/>
        <w:ind w:right="140"/>
        <w:rPr>
          <w:b/>
          <w:sz w:val="22"/>
          <w:szCs w:val="22"/>
        </w:rPr>
      </w:pP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Bdr/>
        <w:spacing w:line="240" w:lineRule="auto"/>
        <w:ind w:right="14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Bdr/>
        <w:spacing w:line="240" w:lineRule="auto"/>
        <w:ind w:right="14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г. Георгиевск </w:t>
      </w:r>
      <w:r>
        <w:rPr>
          <w:b/>
          <w:sz w:val="22"/>
          <w:szCs w:val="22"/>
        </w:rPr>
      </w:r>
    </w:p>
    <w:p>
      <w:pPr>
        <w:pBdr/>
        <w:spacing w:line="240" w:lineRule="auto"/>
        <w:ind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2026</w:t>
      </w:r>
      <w:r>
        <w:rPr>
          <w:b/>
          <w:sz w:val="22"/>
          <w:szCs w:val="22"/>
        </w:rPr>
        <w:t xml:space="preserve"> г. </w:t>
      </w:r>
      <w:r>
        <w:rPr>
          <w:b/>
          <w:sz w:val="22"/>
          <w:szCs w:val="22"/>
        </w:rPr>
      </w:r>
    </w:p>
    <w:p>
      <w:pPr>
        <w:keepNext w:val="true"/>
        <w:keepLines w:val="true"/>
        <w:pageBreakBefore w:val="true"/>
        <w:widowControl w:val="false"/>
        <w:suppressLineNumbers w:val="true"/>
        <w:pBdr/>
        <w:spacing w:line="240" w:lineRule="auto"/>
        <w:ind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Часть 1. Общие положения</w:t>
      </w:r>
      <w:r>
        <w:rPr>
          <w:b/>
          <w:sz w:val="22"/>
          <w:szCs w:val="22"/>
        </w:rPr>
      </w:r>
    </w:p>
    <w:p>
      <w:pPr>
        <w:pBdr/>
        <w:spacing w:line="240" w:lineRule="auto"/>
        <w:ind w:firstLine="709"/>
        <w:rPr>
          <w:b/>
          <w:sz w:val="22"/>
          <w:szCs w:val="22"/>
          <w:lang w:bidi="en-US"/>
        </w:rPr>
      </w:pPr>
      <w:r>
        <w:rPr>
          <w:sz w:val="22"/>
          <w:szCs w:val="22"/>
        </w:rPr>
        <w:t xml:space="preserve">Настоящее извещение о проведении запроса котировок  в электронной форме разработано в соответствии с Положением о закупках государственного автономного учреждения здравоохранения Ставропольского края «Георгиевская стоматологическая поликлиника», Федера</w:t>
      </w:r>
      <w:r>
        <w:rPr>
          <w:sz w:val="22"/>
          <w:szCs w:val="22"/>
        </w:rPr>
        <w:t xml:space="preserve">льным законом от 18 июля 2011 № 223-ФЗ «О закупках товаров, работ, услуг отдельными видами юридических лиц»  (далее – Федеральный закон), а также нормативными правовыми актами, регулирующими порядок осуществления закупок на территории Российской Федерации.</w:t>
      </w:r>
      <w:r>
        <w:rPr>
          <w:b/>
          <w:sz w:val="22"/>
          <w:szCs w:val="22"/>
          <w:lang w:bidi="en-US"/>
        </w:rPr>
        <w:t xml:space="preserve"> </w:t>
      </w:r>
      <w:r>
        <w:rPr>
          <w:b/>
          <w:sz w:val="22"/>
          <w:szCs w:val="22"/>
          <w:lang w:bidi="en-US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hd w:val="clear" w:color="auto" w:fill="ffffff"/>
        <w:spacing w:line="240" w:lineRule="auto"/>
        <w:ind w:right="-28" w:firstLine="708"/>
        <w:rPr>
          <w:color w:val="000000"/>
          <w:spacing w:val="-9"/>
          <w:sz w:val="22"/>
          <w:szCs w:val="22"/>
        </w:rPr>
      </w:pPr>
      <w:r>
        <w:rPr>
          <w:color w:val="000000"/>
          <w:spacing w:val="-9"/>
          <w:sz w:val="22"/>
          <w:szCs w:val="22"/>
        </w:rPr>
        <w:t xml:space="preserve">Во всем, что не урегулировано извещением о закупке</w:t>
      </w:r>
      <w:r>
        <w:rPr>
          <w:color w:val="000000"/>
          <w:spacing w:val="-9"/>
          <w:sz w:val="22"/>
          <w:szCs w:val="22"/>
        </w:rPr>
        <w:t xml:space="preserve">, стороны руководствуются Законом 223-ФЗ, иными федеральными законами и нормативными правовыми актами, регулирующими отношения в сфере закупок товаров, работ, услуг и Положением о закупке (в редакции, действующей на дату официального размещения извещения).</w:t>
      </w:r>
      <w:r>
        <w:rPr>
          <w:color w:val="000000"/>
          <w:spacing w:val="-9"/>
          <w:sz w:val="22"/>
          <w:szCs w:val="22"/>
        </w:rPr>
      </w:r>
    </w:p>
    <w:p>
      <w:pPr>
        <w:pBdr/>
        <w:spacing w:line="240" w:lineRule="auto"/>
        <w:ind w:firstLine="709"/>
        <w:rPr>
          <w:b/>
          <w:sz w:val="22"/>
          <w:szCs w:val="22"/>
          <w:lang w:bidi="en-US"/>
        </w:rPr>
      </w:pPr>
      <w:r>
        <w:rPr>
          <w:b/>
          <w:sz w:val="22"/>
          <w:szCs w:val="22"/>
          <w:lang w:bidi="en-US"/>
        </w:rPr>
        <w:t xml:space="preserve">Используемый способ определения поставщика: </w:t>
      </w:r>
      <w:r>
        <w:rPr>
          <w:b/>
          <w:sz w:val="22"/>
          <w:szCs w:val="22"/>
          <w:lang w:bidi="en-US"/>
        </w:rPr>
      </w:r>
    </w:p>
    <w:p>
      <w:pPr>
        <w:pBdr/>
        <w:spacing w:line="240" w:lineRule="auto"/>
        <w:ind w:firstLine="709"/>
        <w:rPr>
          <w:sz w:val="22"/>
          <w:szCs w:val="22"/>
          <w:lang w:eastAsia="en-US" w:bidi="en-US"/>
        </w:rPr>
      </w:pPr>
      <w:r>
        <w:rPr>
          <w:sz w:val="22"/>
          <w:szCs w:val="22"/>
          <w:lang w:eastAsia="en-US" w:bidi="en-US"/>
        </w:rPr>
        <w:t xml:space="preserve">Используемый способ определения поставщика – запрос котировок в электронной форме</w:t>
      </w:r>
      <w:r>
        <w:rPr>
          <w:sz w:val="22"/>
          <w:szCs w:val="22"/>
          <w:lang w:eastAsia="en-US" w:bidi="en-US"/>
        </w:rPr>
        <w:t xml:space="preserve"> (далее – запрос котировок, торги, закупка)</w:t>
      </w:r>
      <w:r>
        <w:rPr>
          <w:sz w:val="22"/>
          <w:szCs w:val="22"/>
          <w:lang w:eastAsia="en-US" w:bidi="en-US"/>
        </w:rPr>
        <w:t xml:space="preserve">.</w:t>
      </w:r>
      <w:r>
        <w:rPr>
          <w:sz w:val="22"/>
          <w:szCs w:val="22"/>
          <w:lang w:eastAsia="en-US" w:bidi="en-US"/>
        </w:rPr>
      </w:r>
    </w:p>
    <w:p>
      <w:pPr>
        <w:pBdr/>
        <w:spacing w:line="240" w:lineRule="auto"/>
        <w:ind w:firstLine="709"/>
        <w:rPr>
          <w:rStyle w:val="787"/>
          <w:rFonts w:ascii="Times New Roman" w:hAnsi="Times New Roman"/>
          <w:sz w:val="22"/>
          <w:szCs w:val="22"/>
          <w:lang w:eastAsia="ar-SA"/>
        </w:rPr>
      </w:pPr>
      <w:r>
        <w:rPr>
          <w:rStyle w:val="788"/>
          <w:rFonts w:ascii="Times New Roman" w:hAnsi="Times New Roman"/>
          <w:b w:val="0"/>
          <w:sz w:val="22"/>
          <w:szCs w:val="22"/>
        </w:rPr>
        <w:t xml:space="preserve">Под запросом котировок</w:t>
      </w:r>
      <w:r>
        <w:rPr>
          <w:rStyle w:val="788"/>
          <w:rFonts w:ascii="Times New Roman" w:hAnsi="Times New Roman"/>
          <w:sz w:val="22"/>
          <w:szCs w:val="22"/>
        </w:rPr>
        <w:t xml:space="preserve"> </w:t>
      </w:r>
      <w:r>
        <w:rPr>
          <w:rStyle w:val="787"/>
          <w:rFonts w:ascii="Times New Roman" w:hAnsi="Times New Roman"/>
          <w:sz w:val="22"/>
          <w:szCs w:val="22"/>
        </w:rPr>
        <w:t xml:space="preserve">понимается форма торгов, при которой победителем запроса котировок признается участник закупки, заявка которого соответствует требованиям, установленным извещением о проведении запроса котировок, и содержит наиболее низкую цену договора.</w:t>
      </w:r>
      <w:r>
        <w:rPr>
          <w:rStyle w:val="787"/>
          <w:rFonts w:ascii="Times New Roman" w:hAnsi="Times New Roman"/>
          <w:sz w:val="22"/>
          <w:szCs w:val="22"/>
          <w:lang w:eastAsia="ar-SA"/>
        </w:rPr>
      </w:r>
    </w:p>
    <w:p>
      <w:pPr>
        <w:pBdr/>
        <w:spacing w:line="240" w:lineRule="auto"/>
        <w:ind/>
        <w:rPr>
          <w:sz w:val="22"/>
          <w:szCs w:val="22"/>
          <w:lang w:eastAsia="en-US" w:bidi="en-US"/>
        </w:rPr>
      </w:pPr>
      <w:r>
        <w:rPr>
          <w:sz w:val="22"/>
          <w:szCs w:val="22"/>
          <w:lang w:eastAsia="en-US" w:bidi="en-US"/>
        </w:rPr>
        <w:t xml:space="preserve">Запрос котировок в электронной форме проводится на </w:t>
      </w:r>
      <w:r>
        <w:rPr>
          <w:sz w:val="22"/>
          <w:szCs w:val="22"/>
        </w:rPr>
        <w:t xml:space="preserve">ЭТП</w:t>
      </w:r>
      <w:r>
        <w:t xml:space="preserve"> </w:t>
      </w:r>
      <w:r>
        <w:rPr>
          <w:sz w:val="22"/>
          <w:szCs w:val="22"/>
        </w:rPr>
        <w:t xml:space="preserve">http://r-est.ru</w:t>
      </w:r>
      <w:r>
        <w:rPr>
          <w:sz w:val="22"/>
          <w:szCs w:val="22"/>
          <w:lang w:eastAsia="en-US" w:bidi="en-US"/>
        </w:rPr>
        <w:t xml:space="preserve"> (далее – электронная площадка).</w:t>
      </w:r>
      <w:r>
        <w:rPr>
          <w:sz w:val="22"/>
          <w:szCs w:val="22"/>
          <w:lang w:eastAsia="en-US" w:bidi="en-US"/>
        </w:rPr>
      </w:r>
    </w:p>
    <w:p>
      <w:pPr>
        <w:pBdr/>
        <w:spacing w:line="240" w:lineRule="auto"/>
        <w:ind w:firstLine="709"/>
        <w:rPr>
          <w:sz w:val="22"/>
          <w:szCs w:val="22"/>
          <w:lang w:eastAsia="ar-SA"/>
        </w:rPr>
      </w:pPr>
      <w:r>
        <w:rPr>
          <w:sz w:val="22"/>
          <w:szCs w:val="22"/>
        </w:rPr>
        <w:t xml:space="preserve">Извещение о проведении запроса котировок в электронной форме доступно для ознакомления </w:t>
      </w:r>
      <w:bookmarkStart w:id="0" w:name="_Hlk111081322"/>
      <w:r>
        <w:rPr>
          <w:sz w:val="22"/>
          <w:szCs w:val="22"/>
        </w:rPr>
        <w:t xml:space="preserve">на официальном сайте</w:t>
      </w:r>
      <w:r>
        <w:rPr>
          <w:sz w:val="22"/>
          <w:szCs w:val="22"/>
        </w:rPr>
        <w:t xml:space="preserve"> </w:t>
      </w:r>
      <w:bookmarkEnd w:id="0"/>
      <w:r>
        <w:fldChar w:fldCharType="begin"/>
      </w:r>
      <w:r>
        <w:instrText xml:space="preserve"> HYPERLINK "http://zakupki.gov.ru" </w:instrText>
      </w:r>
      <w:r>
        <w:fldChar w:fldCharType="separate"/>
      </w:r>
      <w:r>
        <w:rPr>
          <w:rStyle w:val="721"/>
          <w:sz w:val="22"/>
          <w:szCs w:val="22"/>
          <w:lang w:val="en-US"/>
        </w:rPr>
        <w:t xml:space="preserve">http</w:t>
      </w:r>
      <w:r>
        <w:rPr>
          <w:rStyle w:val="721"/>
          <w:sz w:val="22"/>
          <w:szCs w:val="22"/>
        </w:rPr>
        <w:t xml:space="preserve">://</w:t>
      </w:r>
      <w:r>
        <w:rPr>
          <w:rStyle w:val="721"/>
          <w:sz w:val="22"/>
          <w:szCs w:val="22"/>
          <w:lang w:val="en-US"/>
        </w:rPr>
        <w:t xml:space="preserve">zakupki</w:t>
      </w:r>
      <w:r>
        <w:rPr>
          <w:rStyle w:val="721"/>
          <w:sz w:val="22"/>
          <w:szCs w:val="22"/>
        </w:rPr>
        <w:t xml:space="preserve">.</w:t>
      </w:r>
      <w:r>
        <w:rPr>
          <w:rStyle w:val="721"/>
          <w:sz w:val="22"/>
          <w:szCs w:val="22"/>
          <w:lang w:val="en-US"/>
        </w:rPr>
        <w:t xml:space="preserve">gov</w:t>
      </w:r>
      <w:r>
        <w:rPr>
          <w:rStyle w:val="721"/>
          <w:sz w:val="22"/>
          <w:szCs w:val="22"/>
        </w:rPr>
        <w:t xml:space="preserve">.</w:t>
      </w:r>
      <w:r>
        <w:rPr>
          <w:rStyle w:val="721"/>
          <w:sz w:val="22"/>
          <w:szCs w:val="22"/>
          <w:lang w:val="en-US"/>
        </w:rPr>
        <w:t xml:space="preserve">ru</w:t>
      </w:r>
      <w:r>
        <w:rPr>
          <w:rStyle w:val="721"/>
          <w:sz w:val="22"/>
          <w:szCs w:val="22"/>
          <w:lang w:val="en-US"/>
        </w:rPr>
        <w:fldChar w:fldCharType="end"/>
      </w:r>
      <w:r>
        <w:rPr>
          <w:sz w:val="22"/>
          <w:szCs w:val="22"/>
        </w:rPr>
        <w:t xml:space="preserve"> без взимания платы.</w:t>
      </w:r>
      <w:r>
        <w:rPr>
          <w:sz w:val="22"/>
          <w:szCs w:val="22"/>
          <w:lang w:eastAsia="ar-SA"/>
        </w:rPr>
      </w:r>
    </w:p>
    <w:p>
      <w:pPr>
        <w:pBdr/>
        <w:spacing w:line="240" w:lineRule="auto"/>
        <w:ind w:firstLine="709"/>
        <w:rPr>
          <w:sz w:val="22"/>
          <w:szCs w:val="22"/>
        </w:rPr>
      </w:pPr>
      <w:r>
        <w:rPr>
          <w:sz w:val="22"/>
          <w:szCs w:val="22"/>
        </w:rPr>
        <w:t xml:space="preserve">Участником запроса котировок в электронной форме </w:t>
      </w:r>
      <w:r>
        <w:rPr>
          <w:sz w:val="22"/>
          <w:szCs w:val="22"/>
        </w:rPr>
        <w:t xml:space="preserve">является</w:t>
      </w:r>
      <w:r>
        <w:rPr>
          <w:sz w:val="22"/>
          <w:szCs w:val="22"/>
        </w:rPr>
        <w:t xml:space="preserve"> любое юридическое лицо или несколько юридических лиц, выступающих на стороне одного участника закупочной процедуры, независимо от организационно-правовой формы, формы собственности, места нахождения и места происхождения капитала</w:t>
      </w:r>
      <w:r>
        <w:rPr>
          <w:sz w:val="22"/>
          <w:szCs w:val="22"/>
        </w:rPr>
        <w:t xml:space="preserve">,</w:t>
      </w:r>
      <w:r>
        <w:t xml:space="preserve"> </w:t>
      </w:r>
      <w:r>
        <w:rPr>
          <w:sz w:val="22"/>
          <w:szCs w:val="22"/>
        </w:rPr>
        <w:t xml:space="preserve">за исключением юридического лица, являющегося иностранным агентом в соответствии с Федеральным законом от 14 июля 2022 года N 255-ФЗ "О контроле за деятельностью лиц, находящихся под иностранным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влиянием", либо</w:t>
      </w:r>
      <w:r>
        <w:rPr>
          <w:sz w:val="22"/>
          <w:szCs w:val="22"/>
        </w:rPr>
        <w:t xml:space="preserve"> любое физическое лицо или несколько физических лиц, выступающих на стороне одного участника закупочной процедуры, в том числе индивидуальный предприниматель или несколько индивид</w:t>
      </w:r>
      <w:r>
        <w:rPr>
          <w:sz w:val="22"/>
          <w:szCs w:val="22"/>
        </w:rPr>
        <w:t xml:space="preserve">уальных предпринимателей, выступающих на стороне одного участника закупочной процедуры, которые соответствуют требованиям, установленным настоящим извещением о проведении запроса котировок в электронной форме, подавшее заявку на участие в процедуре закупки</w:t>
      </w:r>
      <w:r>
        <w:rPr>
          <w:sz w:val="22"/>
          <w:szCs w:val="22"/>
        </w:rPr>
        <w:t xml:space="preserve">, за исключением физического лица, являющегося иностранным агентом в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соответствии</w:t>
      </w:r>
      <w:r>
        <w:rPr>
          <w:sz w:val="22"/>
          <w:szCs w:val="22"/>
        </w:rPr>
        <w:t xml:space="preserve"> с Федеральным законом от 14 июля 2022 года N 255-ФЗ "О контроле за деятельностью лиц, находящихся под иностранным влиянием".</w:t>
      </w:r>
      <w:r>
        <w:rPr>
          <w:sz w:val="22"/>
          <w:szCs w:val="22"/>
        </w:rPr>
      </w:r>
    </w:p>
    <w:p>
      <w:pPr>
        <w:pBdr/>
        <w:spacing w:line="240" w:lineRule="auto"/>
        <w:ind w:firstLine="709"/>
        <w:rPr>
          <w:rStyle w:val="788"/>
          <w:rFonts w:ascii="Times New Roman" w:hAnsi="Times New Roman"/>
          <w:sz w:val="22"/>
          <w:szCs w:val="22"/>
        </w:rPr>
      </w:pPr>
      <w:r>
        <w:rPr>
          <w:rStyle w:val="788"/>
          <w:rFonts w:ascii="Times New Roman" w:hAnsi="Times New Roman"/>
          <w:sz w:val="22"/>
          <w:szCs w:val="22"/>
        </w:rPr>
        <w:t xml:space="preserve">Требования к участникам закупок. </w:t>
      </w:r>
      <w:r>
        <w:rPr>
          <w:rStyle w:val="788"/>
          <w:rFonts w:ascii="Times New Roman" w:hAnsi="Times New Roman"/>
          <w:sz w:val="22"/>
          <w:szCs w:val="22"/>
        </w:rPr>
      </w:r>
    </w:p>
    <w:p>
      <w:pPr>
        <w:pBdr/>
        <w:spacing w:line="240" w:lineRule="auto"/>
        <w:ind w:firstLine="709"/>
        <w:rPr>
          <w:rStyle w:val="787"/>
          <w:rFonts w:ascii="Times New Roman" w:hAnsi="Times New Roman"/>
          <w:sz w:val="22"/>
          <w:szCs w:val="22"/>
        </w:rPr>
      </w:pPr>
      <w:r>
        <w:rPr>
          <w:rStyle w:val="787"/>
          <w:rFonts w:ascii="Times New Roman" w:hAnsi="Times New Roman"/>
          <w:sz w:val="22"/>
          <w:szCs w:val="22"/>
        </w:rPr>
        <w:t xml:space="preserve">- соответствие участника закупок требованиям, устанавливаемым в соответствии с законодательством</w:t>
      </w:r>
      <w:r>
        <w:rPr>
          <w:color w:val="000000"/>
          <w:sz w:val="22"/>
          <w:szCs w:val="22"/>
        </w:rPr>
        <w:t xml:space="preserve"> </w:t>
      </w:r>
      <w:r>
        <w:rPr>
          <w:rStyle w:val="787"/>
          <w:rFonts w:ascii="Times New Roman" w:hAnsi="Times New Roman"/>
          <w:sz w:val="22"/>
          <w:szCs w:val="22"/>
        </w:rPr>
        <w:t xml:space="preserve">Российской Федерации к лицам, осуществляющим поставки товаров, выполнение работ, оказание услуг, являющихся предметом закупки; </w:t>
      </w:r>
      <w:r>
        <w:rPr>
          <w:rStyle w:val="787"/>
          <w:rFonts w:ascii="Times New Roman" w:hAnsi="Times New Roman"/>
          <w:sz w:val="22"/>
          <w:szCs w:val="22"/>
        </w:rPr>
      </w:r>
    </w:p>
    <w:p>
      <w:pPr>
        <w:pBdr/>
        <w:spacing w:line="240" w:lineRule="auto"/>
        <w:ind w:firstLine="709"/>
        <w:rPr/>
      </w:pPr>
      <w:r>
        <w:rPr>
          <w:sz w:val="22"/>
          <w:szCs w:val="22"/>
        </w:rPr>
        <w:t xml:space="preserve">- быть правомочным заключать договор;</w:t>
      </w:r>
      <w:r/>
    </w:p>
    <w:p>
      <w:pPr>
        <w:pBdr/>
        <w:spacing w:line="240" w:lineRule="auto"/>
        <w:ind w:firstLine="709"/>
        <w:rPr>
          <w:rStyle w:val="787"/>
          <w:rFonts w:ascii="Times New Roman" w:hAnsi="Times New Roman"/>
          <w:sz w:val="22"/>
          <w:szCs w:val="22"/>
        </w:rPr>
      </w:pPr>
      <w:r>
        <w:rPr>
          <w:rStyle w:val="787"/>
          <w:rFonts w:ascii="Times New Roman" w:hAnsi="Times New Roman"/>
          <w:sz w:val="22"/>
          <w:szCs w:val="22"/>
        </w:rPr>
        <w:t xml:space="preserve">- не проведение ликвидации участника закупки - юридического лица и отсутствие решения</w:t>
      </w:r>
      <w:r>
        <w:rPr>
          <w:color w:val="000000"/>
          <w:sz w:val="22"/>
          <w:szCs w:val="22"/>
        </w:rPr>
        <w:t xml:space="preserve"> </w:t>
      </w:r>
      <w:r>
        <w:rPr>
          <w:rStyle w:val="787"/>
          <w:rFonts w:ascii="Times New Roman" w:hAnsi="Times New Roman"/>
          <w:sz w:val="22"/>
          <w:szCs w:val="22"/>
        </w:rPr>
        <w:t xml:space="preserve">арбитражного суда о признании участника закупки - юридического лица, индивидуального предпринимателя банкротом и об открытии конкурсного производства; </w:t>
      </w:r>
      <w:r>
        <w:rPr>
          <w:rStyle w:val="787"/>
          <w:rFonts w:ascii="Times New Roman" w:hAnsi="Times New Roman"/>
          <w:sz w:val="22"/>
          <w:szCs w:val="22"/>
        </w:rPr>
        <w:tab/>
      </w:r>
      <w:r>
        <w:rPr>
          <w:color w:val="000000"/>
          <w:sz w:val="22"/>
          <w:szCs w:val="22"/>
        </w:rPr>
        <w:br/>
      </w:r>
      <w:r>
        <w:rPr>
          <w:rStyle w:val="787"/>
          <w:rFonts w:ascii="Times New Roman" w:hAnsi="Times New Roman"/>
          <w:sz w:val="22"/>
          <w:szCs w:val="22"/>
        </w:rPr>
        <w:t xml:space="preserve">- не приостановление деятельности участника закупки в порядке, предусмотренном Кодексом Российской Федерации об административных правонарушениях, на день подачи заявки в целях участия в закупках;</w:t>
      </w:r>
      <w:r>
        <w:rPr>
          <w:rStyle w:val="787"/>
          <w:rFonts w:ascii="Times New Roman" w:hAnsi="Times New Roman"/>
          <w:sz w:val="22"/>
          <w:szCs w:val="22"/>
        </w:rPr>
      </w:r>
    </w:p>
    <w:p>
      <w:pPr>
        <w:pBdr/>
        <w:spacing w:line="240" w:lineRule="auto"/>
        <w:ind w:firstLine="709"/>
        <w:rPr>
          <w:rStyle w:val="787"/>
          <w:rFonts w:ascii="Times New Roman" w:hAnsi="Times New Roman"/>
          <w:sz w:val="22"/>
          <w:szCs w:val="22"/>
        </w:rPr>
      </w:pPr>
      <w:r>
        <w:rPr>
          <w:rStyle w:val="787"/>
          <w:rFonts w:ascii="Times New Roman" w:hAnsi="Times New Roman"/>
          <w:sz w:val="22"/>
          <w:szCs w:val="22"/>
        </w:rPr>
        <w:t xml:space="preserve">- отсутствие у участника закупки задолженности по начисленным налогам, сборам и иным обязательным платежам в бюджеты любого уровня или государственные внебюджетные фонды за прошедший</w:t>
      </w:r>
      <w:r>
        <w:rPr>
          <w:color w:val="000000"/>
          <w:sz w:val="22"/>
          <w:szCs w:val="22"/>
        </w:rPr>
        <w:t xml:space="preserve"> </w:t>
      </w:r>
      <w:r>
        <w:rPr>
          <w:rStyle w:val="787"/>
          <w:rFonts w:ascii="Times New Roman" w:hAnsi="Times New Roman"/>
          <w:sz w:val="22"/>
          <w:szCs w:val="22"/>
        </w:rPr>
        <w:t xml:space="preserve">календарный год; При наличии задолженности участник закуп</w:t>
      </w:r>
      <w:r>
        <w:rPr>
          <w:rStyle w:val="787"/>
          <w:rFonts w:ascii="Times New Roman" w:hAnsi="Times New Roman"/>
          <w:sz w:val="22"/>
          <w:szCs w:val="22"/>
        </w:rPr>
        <w:t xml:space="preserve">ки считается соответствующим установленному требованию в случае,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принято;</w:t>
      </w:r>
      <w:r>
        <w:rPr>
          <w:rStyle w:val="787"/>
          <w:rFonts w:ascii="Times New Roman" w:hAnsi="Times New Roman"/>
          <w:sz w:val="22"/>
          <w:szCs w:val="22"/>
        </w:rPr>
      </w:r>
    </w:p>
    <w:p>
      <w:pPr>
        <w:pBdr/>
        <w:spacing w:line="240" w:lineRule="auto"/>
        <w:ind w:firstLine="709"/>
        <w:rPr>
          <w:rStyle w:val="787"/>
          <w:rFonts w:ascii="Times New Roman" w:hAnsi="Times New Roman"/>
          <w:sz w:val="22"/>
          <w:szCs w:val="22"/>
        </w:rPr>
      </w:pPr>
      <w:r>
        <w:rPr>
          <w:rStyle w:val="787"/>
          <w:rFonts w:ascii="Times New Roman" w:hAnsi="Times New Roman"/>
          <w:sz w:val="22"/>
          <w:szCs w:val="22"/>
        </w:rPr>
        <w:t xml:space="preserve">- отсутствие сведений об участнике закупки в реестре недобросовестных поставщиков,</w:t>
      </w:r>
      <w:r>
        <w:rPr>
          <w:color w:val="000000"/>
          <w:sz w:val="22"/>
          <w:szCs w:val="22"/>
        </w:rPr>
        <w:t xml:space="preserve"> </w:t>
      </w:r>
      <w:r>
        <w:rPr>
          <w:rStyle w:val="787"/>
          <w:rFonts w:ascii="Times New Roman" w:hAnsi="Times New Roman"/>
          <w:sz w:val="22"/>
          <w:szCs w:val="22"/>
        </w:rPr>
        <w:t xml:space="preserve">предусмотренном ст. 5 Федерального закона № 223-ФЗ и в реестре недобросовестных поставщиков, предусмотренном Федеральным законом от 6 апреля 2013 года № 44-ФЗ «О </w:t>
      </w:r>
      <w:r>
        <w:rPr>
          <w:rStyle w:val="787"/>
          <w:rFonts w:ascii="Times New Roman" w:hAnsi="Times New Roman"/>
          <w:sz w:val="22"/>
          <w:szCs w:val="22"/>
        </w:rPr>
        <w:t xml:space="preserve">контрактной системе в сфере закупок</w:t>
      </w:r>
      <w:r>
        <w:rPr>
          <w:rStyle w:val="787"/>
          <w:rFonts w:ascii="Times New Roman" w:hAnsi="Times New Roman"/>
          <w:sz w:val="22"/>
          <w:szCs w:val="22"/>
        </w:rPr>
        <w:tab/>
      </w:r>
      <w:r>
        <w:rPr>
          <w:color w:val="000000"/>
          <w:sz w:val="22"/>
          <w:szCs w:val="22"/>
        </w:rPr>
        <w:t xml:space="preserve"> </w:t>
      </w:r>
      <w:r>
        <w:rPr>
          <w:rStyle w:val="787"/>
          <w:rFonts w:ascii="Times New Roman" w:hAnsi="Times New Roman"/>
          <w:sz w:val="22"/>
          <w:szCs w:val="22"/>
        </w:rPr>
        <w:t xml:space="preserve">товаров, работ, услуг для обеспечения государственных и муниципальных нужд»;</w:t>
      </w:r>
      <w:r>
        <w:rPr>
          <w:rStyle w:val="787"/>
          <w:rFonts w:ascii="Times New Roman" w:hAnsi="Times New Roman"/>
          <w:sz w:val="22"/>
          <w:szCs w:val="22"/>
        </w:rPr>
      </w:r>
    </w:p>
    <w:p>
      <w:pPr>
        <w:pBdr/>
        <w:spacing w:line="240" w:lineRule="auto"/>
        <w:ind w:firstLine="709"/>
        <w:rPr>
          <w:rStyle w:val="787"/>
          <w:rFonts w:ascii="Times New Roman" w:hAnsi="Times New Roman"/>
          <w:sz w:val="22"/>
          <w:szCs w:val="22"/>
        </w:rPr>
      </w:pPr>
      <w:r>
        <w:rPr>
          <w:rStyle w:val="787"/>
          <w:rFonts w:ascii="Times New Roman" w:hAnsi="Times New Roman"/>
          <w:sz w:val="22"/>
          <w:szCs w:val="22"/>
        </w:rPr>
        <w:t xml:space="preserve">- участник закупки имеет право выступать в </w:t>
      </w:r>
      <w:r>
        <w:rPr>
          <w:rStyle w:val="787"/>
          <w:rFonts w:ascii="Times New Roman" w:hAnsi="Times New Roman"/>
          <w:sz w:val="22"/>
          <w:szCs w:val="22"/>
        </w:rPr>
        <w:t xml:space="preserve">отношениях, связанных с осуществлением закупок продукции для нужд Заказчика, как непосредственно, так и через своих представителей. Полномочия представителя участника закупки подтверждаются доверенностью, выданной и оформленной в соответствии с гражданским</w:t>
      </w:r>
      <w:r>
        <w:rPr>
          <w:color w:val="000000"/>
          <w:sz w:val="22"/>
          <w:szCs w:val="22"/>
        </w:rPr>
        <w:t xml:space="preserve"> </w:t>
      </w:r>
      <w:r>
        <w:rPr>
          <w:rStyle w:val="787"/>
          <w:rFonts w:ascii="Times New Roman" w:hAnsi="Times New Roman"/>
          <w:sz w:val="22"/>
          <w:szCs w:val="22"/>
        </w:rPr>
        <w:t xml:space="preserve">законодательством Российской Федерации, или ее нотариально заверенной копией.</w:t>
      </w:r>
      <w:r>
        <w:rPr>
          <w:rStyle w:val="787"/>
          <w:rFonts w:ascii="Times New Roman" w:hAnsi="Times New Roman"/>
          <w:sz w:val="22"/>
          <w:szCs w:val="22"/>
        </w:rPr>
      </w:r>
    </w:p>
    <w:p>
      <w:pPr>
        <w:pBdr/>
        <w:spacing w:line="240" w:lineRule="auto"/>
        <w:ind w:firstLine="709"/>
        <w:rPr>
          <w:sz w:val="22"/>
          <w:szCs w:val="22"/>
        </w:rPr>
      </w:pPr>
      <w:r>
        <w:rPr>
          <w:sz w:val="22"/>
          <w:szCs w:val="22"/>
        </w:rPr>
        <w:t xml:space="preserve">- участник закупки не должен являться юридическим или физическим лицом, в отношении которого применяются специальные экономические меры, предусмотренные подпунктом а) пункта 2 Указ</w:t>
      </w:r>
      <w:r>
        <w:rPr>
          <w:sz w:val="22"/>
          <w:szCs w:val="22"/>
        </w:rPr>
        <w:t xml:space="preserve">а Президента РФ от 03.05.2022 г. № 252 «О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организаций», либо являться организацией, находящейся под контролем таких лиц</w:t>
      </w:r>
      <w:r>
        <w:rPr>
          <w:sz w:val="22"/>
          <w:szCs w:val="22"/>
        </w:rPr>
        <w:t xml:space="preserve">;</w:t>
      </w:r>
      <w:r>
        <w:rPr>
          <w:sz w:val="22"/>
          <w:szCs w:val="22"/>
        </w:rPr>
      </w:r>
    </w:p>
    <w:p>
      <w:pPr>
        <w:pBdr/>
        <w:spacing w:line="240" w:lineRule="auto"/>
        <w:ind w:firstLine="709"/>
        <w:rPr>
          <w:sz w:val="22"/>
          <w:szCs w:val="22"/>
        </w:rPr>
      </w:pPr>
      <w:r/>
      <w:bookmarkStart w:id="1" w:name="_Hlk125621752"/>
      <w:r>
        <w:rPr>
          <w:sz w:val="22"/>
          <w:szCs w:val="22"/>
        </w:rPr>
        <w:t xml:space="preserve">- участник </w:t>
      </w:r>
      <w:r>
        <w:rPr>
          <w:sz w:val="22"/>
          <w:szCs w:val="22"/>
        </w:rPr>
        <w:t xml:space="preserve">закупки не должен являться иностранным агентом в соответствии с Федеральным законом от 14 июля 2022 года N 255-ФЗ «О </w:t>
      </w:r>
      <w:r>
        <w:rPr>
          <w:sz w:val="22"/>
          <w:szCs w:val="22"/>
        </w:rPr>
        <w:t xml:space="preserve">контроле за</w:t>
      </w:r>
      <w:r>
        <w:rPr>
          <w:sz w:val="22"/>
          <w:szCs w:val="22"/>
        </w:rPr>
        <w:t xml:space="preserve"> деятельностью лиц, находящихся под иностранным влияние</w:t>
      </w:r>
      <w:r>
        <w:rPr>
          <w:sz w:val="22"/>
          <w:szCs w:val="22"/>
        </w:rPr>
        <w:t xml:space="preserve">м</w:t>
      </w:r>
      <w:r>
        <w:rPr>
          <w:sz w:val="22"/>
          <w:szCs w:val="22"/>
        </w:rPr>
        <w:t xml:space="preserve">».</w:t>
      </w:r>
      <w:bookmarkEnd w:id="1"/>
      <w:r>
        <w:rPr>
          <w:sz w:val="22"/>
          <w:szCs w:val="22"/>
        </w:rPr>
      </w:r>
    </w:p>
    <w:p>
      <w:pPr>
        <w:pBdr/>
        <w:spacing w:line="240" w:lineRule="auto"/>
        <w:ind w:firstLine="709"/>
        <w:rPr>
          <w:sz w:val="22"/>
          <w:szCs w:val="22"/>
        </w:rPr>
      </w:pPr>
      <w:r>
        <w:rPr>
          <w:sz w:val="22"/>
          <w:szCs w:val="22"/>
        </w:rPr>
        <w:t xml:space="preserve">Заказчик вправе проверять соответствие участников закупки к п</w:t>
      </w:r>
      <w:r>
        <w:rPr>
          <w:sz w:val="22"/>
          <w:szCs w:val="22"/>
        </w:rPr>
        <w:t xml:space="preserve">редъявляемым требованиям, указанной в извещении о закупке, в случае выявления их несоответствия, Заказчик отстраняет участника закупки от участия в определении поставщика (подрядчика, исполнителя) на любом этапе процедуры закупки или отказывает в заключени</w:t>
      </w:r>
      <w:r>
        <w:rPr>
          <w:sz w:val="22"/>
          <w:szCs w:val="22"/>
        </w:rPr>
        <w:t xml:space="preserve">и</w:t>
      </w:r>
      <w:r>
        <w:rPr>
          <w:sz w:val="22"/>
          <w:szCs w:val="22"/>
        </w:rPr>
        <w:t xml:space="preserve"> договора такому участнику закупки (победителю), в том числе единственному поставщику (подрядчику, исполнителю).</w:t>
      </w:r>
      <w:r>
        <w:rPr>
          <w:sz w:val="22"/>
          <w:szCs w:val="22"/>
        </w:rPr>
      </w:r>
    </w:p>
    <w:p>
      <w:pPr>
        <w:pBdr/>
        <w:spacing w:line="240" w:lineRule="auto"/>
        <w:ind w:firstLine="709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2. Информация о Заказчике</w:t>
      </w:r>
      <w:r>
        <w:rPr>
          <w:b/>
          <w:sz w:val="22"/>
          <w:szCs w:val="22"/>
        </w:rPr>
      </w:r>
    </w:p>
    <w:p>
      <w:pPr>
        <w:pBdr/>
        <w:spacing w:line="240" w:lineRule="auto"/>
        <w:ind w:firstLine="709"/>
        <w:rPr>
          <w:sz w:val="22"/>
          <w:szCs w:val="22"/>
        </w:rPr>
      </w:pPr>
      <w:r>
        <w:rPr>
          <w:sz w:val="22"/>
          <w:szCs w:val="22"/>
        </w:rPr>
        <w:t xml:space="preserve">Государственное автономное учреждение здравоохранения Ставропольского края «Георгиевская стоматологическая поликлиника». </w:t>
      </w:r>
      <w:r>
        <w:rPr>
          <w:sz w:val="22"/>
          <w:szCs w:val="22"/>
        </w:rPr>
      </w:r>
    </w:p>
    <w:p>
      <w:pPr>
        <w:pBdr/>
        <w:spacing w:line="240" w:lineRule="auto"/>
        <w:ind w:firstLine="709"/>
        <w:rPr>
          <w:szCs w:val="28"/>
        </w:rPr>
      </w:pPr>
      <w:r>
        <w:rPr>
          <w:sz w:val="22"/>
          <w:szCs w:val="22"/>
        </w:rPr>
        <w:t xml:space="preserve">Место нахождения: 357820, Ставропольский край, </w:t>
      </w:r>
      <w:r>
        <w:rPr>
          <w:sz w:val="22"/>
          <w:szCs w:val="22"/>
        </w:rPr>
        <w:t xml:space="preserve">г</w:t>
      </w:r>
      <w:r>
        <w:rPr>
          <w:sz w:val="22"/>
          <w:szCs w:val="22"/>
        </w:rPr>
        <w:t xml:space="preserve">. Георгиевск, ул. Лермонтова,59.</w:t>
      </w:r>
      <w:r>
        <w:rPr>
          <w:szCs w:val="28"/>
        </w:rPr>
      </w:r>
    </w:p>
    <w:p>
      <w:pPr>
        <w:pBdr/>
        <w:spacing w:line="240" w:lineRule="auto"/>
        <w:ind w:firstLine="709"/>
        <w:rPr>
          <w:sz w:val="22"/>
          <w:szCs w:val="22"/>
        </w:rPr>
      </w:pPr>
      <w:r>
        <w:rPr>
          <w:sz w:val="22"/>
          <w:szCs w:val="22"/>
        </w:rPr>
        <w:t xml:space="preserve">Контактная информация: </w:t>
      </w:r>
      <w:r>
        <w:rPr>
          <w:sz w:val="22"/>
          <w:szCs w:val="22"/>
        </w:rPr>
        <w:t xml:space="preserve">Маланчева</w:t>
      </w:r>
      <w:r>
        <w:rPr>
          <w:sz w:val="22"/>
          <w:szCs w:val="22"/>
        </w:rPr>
        <w:t xml:space="preserve"> Виктория Александровна, тел: (87951) 2-22-27, 89624082402</w:t>
      </w:r>
      <w:r>
        <w:rPr>
          <w:sz w:val="22"/>
          <w:szCs w:val="22"/>
        </w:rPr>
      </w:r>
    </w:p>
    <w:p>
      <w:pPr>
        <w:pBdr/>
        <w:spacing w:line="240" w:lineRule="auto"/>
        <w:ind w:firstLine="709"/>
        <w:rPr>
          <w:szCs w:val="28"/>
        </w:rPr>
      </w:pPr>
      <w:r>
        <w:rPr>
          <w:sz w:val="22"/>
          <w:szCs w:val="22"/>
        </w:rPr>
        <w:t xml:space="preserve">Адрес электронной почты: </w:t>
      </w:r>
      <w:r>
        <w:rPr>
          <w:color w:val="0000ff"/>
          <w:sz w:val="22"/>
          <w:szCs w:val="22"/>
          <w:shd w:val="clear" w:color="auto" w:fill="ffffff"/>
        </w:rPr>
        <w:t xml:space="preserve">zakupkigsp@mail.ru</w:t>
      </w:r>
      <w:r>
        <w:rPr>
          <w:szCs w:val="28"/>
        </w:rPr>
      </w:r>
    </w:p>
    <w:p>
      <w:pPr>
        <w:pBdr/>
        <w:tabs>
          <w:tab w:val="left" w:leader="none" w:pos="360"/>
        </w:tabs>
        <w:spacing w:line="240" w:lineRule="auto"/>
        <w:ind w:firstLine="709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3. Порядок подачи заявок на участие в запросе котировок в электронной форме: </w:t>
      </w:r>
      <w:r>
        <w:rPr>
          <w:b/>
          <w:sz w:val="22"/>
          <w:szCs w:val="22"/>
        </w:rPr>
      </w:r>
    </w:p>
    <w:p>
      <w:pPr>
        <w:pBdr/>
        <w:tabs>
          <w:tab w:val="left" w:leader="none" w:pos="709"/>
        </w:tabs>
        <w:spacing w:line="240" w:lineRule="auto"/>
        <w:ind w:firstLine="709"/>
        <w:rPr>
          <w:bCs/>
          <w:color w:val="000000"/>
          <w:sz w:val="22"/>
          <w:szCs w:val="22"/>
        </w:rPr>
      </w:pPr>
      <w:r>
        <w:rPr>
          <w:sz w:val="22"/>
          <w:szCs w:val="22"/>
        </w:rPr>
        <w:t xml:space="preserve">3.1.</w:t>
      </w:r>
      <w:r>
        <w:rPr>
          <w:b/>
          <w:sz w:val="22"/>
          <w:szCs w:val="22"/>
        </w:rPr>
        <w:t xml:space="preserve"> Форма подачи:</w:t>
      </w:r>
      <w:r>
        <w:rPr>
          <w:bCs/>
          <w:color w:val="000000"/>
          <w:sz w:val="22"/>
          <w:szCs w:val="22"/>
        </w:rPr>
      </w:r>
    </w:p>
    <w:p>
      <w:pPr>
        <w:pBdr/>
        <w:tabs>
          <w:tab w:val="left" w:leader="none" w:pos="709"/>
        </w:tabs>
        <w:spacing w:line="240" w:lineRule="auto"/>
        <w:ind w:firstLine="709"/>
        <w:rPr>
          <w:b/>
          <w:sz w:val="22"/>
          <w:szCs w:val="22"/>
        </w:rPr>
      </w:pPr>
      <w:r>
        <w:rPr>
          <w:bCs/>
          <w:color w:val="000000"/>
          <w:sz w:val="22"/>
          <w:szCs w:val="22"/>
        </w:rPr>
        <w:t xml:space="preserve">Заявки принимаются в форме электронного документа по форме и в порядке, установленном извещением о проведении запроса котировок в электронной форме. </w:t>
      </w:r>
      <w:r>
        <w:rPr>
          <w:b/>
          <w:sz w:val="22"/>
          <w:szCs w:val="22"/>
        </w:rPr>
      </w:r>
    </w:p>
    <w:p>
      <w:pPr>
        <w:pBdr/>
        <w:tabs>
          <w:tab w:val="left" w:leader="none" w:pos="720"/>
          <w:tab w:val="left" w:leader="none" w:pos="900"/>
        </w:tabs>
        <w:spacing w:line="240" w:lineRule="auto"/>
        <w:ind w:firstLine="709"/>
        <w:rPr>
          <w:rStyle w:val="721"/>
          <w:sz w:val="22"/>
          <w:szCs w:val="22"/>
        </w:rPr>
      </w:pPr>
      <w:r>
        <w:rPr>
          <w:bCs/>
          <w:color w:val="000000"/>
          <w:sz w:val="22"/>
          <w:szCs w:val="22"/>
        </w:rPr>
        <w:tab/>
      </w:r>
      <w:r>
        <w:rPr>
          <w:rStyle w:val="787"/>
          <w:rFonts w:ascii="Times New Roman" w:hAnsi="Times New Roman"/>
          <w:sz w:val="22"/>
          <w:szCs w:val="22"/>
        </w:rPr>
        <w:t xml:space="preserve">Электронные документы участника закупки в электронной форме должны быть подписаны усиленной квалифицированно</w:t>
      </w:r>
      <w:r>
        <w:rPr>
          <w:rStyle w:val="787"/>
          <w:rFonts w:ascii="Times New Roman" w:hAnsi="Times New Roman"/>
          <w:sz w:val="22"/>
          <w:szCs w:val="22"/>
        </w:rPr>
        <w:t xml:space="preserve">й электронной подписью (далее -</w:t>
      </w:r>
      <w:r>
        <w:rPr>
          <w:color w:val="000000"/>
          <w:sz w:val="22"/>
          <w:szCs w:val="22"/>
        </w:rPr>
        <w:t xml:space="preserve"> </w:t>
      </w:r>
      <w:r>
        <w:rPr>
          <w:rStyle w:val="787"/>
          <w:rFonts w:ascii="Times New Roman" w:hAnsi="Times New Roman"/>
          <w:sz w:val="22"/>
          <w:szCs w:val="22"/>
        </w:rPr>
        <w:t xml:space="preserve">электронная подпись) лица, имеющего право действовать от имени соответственно участника закупки в электронной форме. </w:t>
      </w:r>
      <w:r>
        <w:rPr>
          <w:rStyle w:val="787"/>
          <w:rFonts w:ascii="Times New Roman" w:hAnsi="Times New Roman"/>
          <w:sz w:val="22"/>
          <w:szCs w:val="22"/>
        </w:rPr>
        <w:tab/>
      </w:r>
      <w:r>
        <w:rPr>
          <w:color w:val="000000"/>
        </w:rPr>
        <w:br/>
      </w:r>
      <w:r>
        <w:rPr>
          <w:bCs/>
          <w:sz w:val="22"/>
          <w:szCs w:val="22"/>
        </w:rPr>
        <w:t xml:space="preserve">          </w:t>
      </w:r>
      <w:r>
        <w:rPr>
          <w:bCs/>
          <w:sz w:val="22"/>
          <w:szCs w:val="22"/>
        </w:rPr>
        <w:t xml:space="preserve">  </w:t>
      </w:r>
      <w:r>
        <w:rPr>
          <w:bCs/>
          <w:sz w:val="22"/>
          <w:szCs w:val="22"/>
        </w:rPr>
        <w:t xml:space="preserve">3.2.</w:t>
      </w:r>
      <w:r>
        <w:rPr>
          <w:b/>
          <w:bCs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Место подачи заявок: </w:t>
      </w:r>
      <w:r>
        <w:rPr>
          <w:sz w:val="22"/>
          <w:szCs w:val="22"/>
        </w:rPr>
        <w:t xml:space="preserve">ЭТП </w:t>
      </w:r>
      <w:r>
        <w:rPr>
          <w:sz w:val="22"/>
          <w:szCs w:val="22"/>
        </w:rPr>
        <w:t xml:space="preserve">http://r-est.ru</w:t>
      </w:r>
      <w:r>
        <w:rPr>
          <w:rStyle w:val="721"/>
          <w:sz w:val="22"/>
          <w:szCs w:val="22"/>
        </w:rPr>
      </w:r>
    </w:p>
    <w:p>
      <w:pPr>
        <w:pBdr/>
        <w:tabs>
          <w:tab w:val="left" w:leader="none" w:pos="720"/>
          <w:tab w:val="left" w:leader="none" w:pos="900"/>
        </w:tabs>
        <w:spacing w:line="240" w:lineRule="auto"/>
        <w:ind w:firstLine="709"/>
        <w:rPr>
          <w:bCs/>
          <w:color w:val="000000"/>
          <w:sz w:val="22"/>
          <w:szCs w:val="22"/>
          <w:highlight w:val="yellow"/>
        </w:rPr>
      </w:pPr>
      <w:r>
        <w:rPr>
          <w:sz w:val="22"/>
          <w:szCs w:val="22"/>
          <w:lang w:eastAsia="en-US"/>
        </w:rPr>
        <w:t xml:space="preserve">3.3.</w:t>
      </w:r>
      <w:r>
        <w:rPr>
          <w:b/>
          <w:sz w:val="22"/>
          <w:szCs w:val="22"/>
          <w:lang w:eastAsia="en-US"/>
        </w:rPr>
        <w:t xml:space="preserve"> Срок начала подачи заявок</w:t>
      </w:r>
      <w:r>
        <w:rPr>
          <w:b/>
          <w:bCs/>
          <w:color w:val="000000"/>
          <w:sz w:val="22"/>
          <w:szCs w:val="22"/>
        </w:rPr>
        <w:t xml:space="preserve"> на участие: </w:t>
      </w:r>
      <w:r>
        <w:rPr>
          <w:bCs/>
          <w:color w:val="000000"/>
          <w:sz w:val="22"/>
          <w:szCs w:val="22"/>
          <w:highlight w:val="yellow"/>
        </w:rPr>
        <w:t xml:space="preserve">«</w:t>
      </w:r>
      <w:r>
        <w:rPr>
          <w:bCs/>
          <w:color w:val="000000"/>
          <w:sz w:val="22"/>
          <w:szCs w:val="22"/>
          <w:highlight w:val="yellow"/>
        </w:rPr>
        <w:t xml:space="preserve">30</w:t>
      </w:r>
      <w:r>
        <w:rPr>
          <w:bCs/>
          <w:color w:val="000000"/>
          <w:sz w:val="22"/>
          <w:szCs w:val="22"/>
          <w:highlight w:val="yellow"/>
        </w:rPr>
        <w:t xml:space="preserve">» апреля</w:t>
      </w:r>
      <w:r>
        <w:rPr>
          <w:bCs/>
          <w:color w:val="000000"/>
          <w:sz w:val="22"/>
          <w:szCs w:val="22"/>
          <w:highlight w:val="yellow"/>
        </w:rPr>
        <w:t xml:space="preserve"> 2026</w:t>
      </w:r>
      <w:r>
        <w:rPr>
          <w:bCs/>
          <w:color w:val="000000"/>
          <w:sz w:val="22"/>
          <w:szCs w:val="22"/>
          <w:highlight w:val="yellow"/>
        </w:rPr>
        <w:t xml:space="preserve"> года. </w:t>
      </w:r>
      <w:r>
        <w:rPr>
          <w:bCs/>
          <w:color w:val="000000"/>
          <w:sz w:val="22"/>
          <w:szCs w:val="22"/>
          <w:highlight w:val="yellow"/>
        </w:rPr>
      </w:r>
    </w:p>
    <w:p>
      <w:pPr>
        <w:pBdr/>
        <w:spacing w:line="240" w:lineRule="auto"/>
        <w:ind w:right="153" w:firstLine="709"/>
        <w:rPr>
          <w:color w:val="000000"/>
          <w:sz w:val="22"/>
          <w:szCs w:val="22"/>
          <w:lang w:eastAsia="en-US"/>
        </w:rPr>
      </w:pPr>
      <w:r>
        <w:rPr>
          <w:b/>
          <w:bCs/>
          <w:color w:val="000000"/>
          <w:sz w:val="22"/>
          <w:szCs w:val="22"/>
        </w:rPr>
        <w:t xml:space="preserve">Срок окончания подачи заявок на участие:</w:t>
      </w:r>
      <w:r>
        <w:rPr>
          <w:b/>
          <w:bCs/>
          <w:color w:val="000000"/>
          <w:sz w:val="22"/>
          <w:szCs w:val="22"/>
          <w:highlight w:val="yellow"/>
        </w:rPr>
        <w:t xml:space="preserve"> </w:t>
      </w:r>
      <w:r>
        <w:rPr>
          <w:bCs/>
          <w:color w:val="000000"/>
          <w:sz w:val="22"/>
          <w:szCs w:val="22"/>
          <w:highlight w:val="yellow"/>
        </w:rPr>
        <w:t xml:space="preserve">«</w:t>
      </w:r>
      <w:r>
        <w:rPr>
          <w:bCs/>
          <w:color w:val="000000"/>
          <w:sz w:val="22"/>
          <w:szCs w:val="22"/>
          <w:highlight w:val="yellow"/>
        </w:rPr>
        <w:t xml:space="preserve">12</w:t>
      </w:r>
      <w:r>
        <w:rPr>
          <w:bCs/>
          <w:color w:val="000000"/>
          <w:sz w:val="22"/>
          <w:szCs w:val="22"/>
          <w:highlight w:val="yellow"/>
        </w:rPr>
        <w:t xml:space="preserve">» </w:t>
      </w:r>
      <w:r>
        <w:rPr>
          <w:bCs/>
          <w:color w:val="000000"/>
          <w:sz w:val="22"/>
          <w:szCs w:val="22"/>
          <w:highlight w:val="yellow"/>
        </w:rPr>
        <w:t xml:space="preserve">мая 2026</w:t>
      </w:r>
      <w:r>
        <w:rPr>
          <w:bCs/>
          <w:color w:val="000000"/>
          <w:sz w:val="22"/>
          <w:szCs w:val="22"/>
          <w:highlight w:val="yellow"/>
        </w:rPr>
        <w:t xml:space="preserve"> года, </w:t>
      </w:r>
      <w:r>
        <w:rPr>
          <w:bCs/>
          <w:color w:val="000000"/>
          <w:sz w:val="22"/>
          <w:szCs w:val="22"/>
          <w:highlight w:val="yellow"/>
        </w:rPr>
        <w:t xml:space="preserve">09</w:t>
      </w:r>
      <w:r>
        <w:rPr>
          <w:bCs/>
          <w:color w:val="000000"/>
          <w:sz w:val="22"/>
          <w:szCs w:val="22"/>
          <w:highlight w:val="yellow"/>
        </w:rPr>
        <w:t xml:space="preserve">:00 (время московское)</w:t>
      </w:r>
      <w:r>
        <w:rPr>
          <w:color w:val="000000"/>
          <w:sz w:val="22"/>
          <w:szCs w:val="22"/>
          <w:highlight w:val="yellow"/>
          <w:lang w:eastAsia="en-US"/>
        </w:rPr>
        <w:t xml:space="preserve">.</w:t>
      </w:r>
      <w:r>
        <w:rPr>
          <w:color w:val="000000"/>
          <w:sz w:val="22"/>
          <w:szCs w:val="22"/>
          <w:lang w:eastAsia="en-US"/>
        </w:rPr>
        <w:t xml:space="preserve"> </w:t>
      </w:r>
      <w:r>
        <w:rPr>
          <w:color w:val="000000"/>
          <w:sz w:val="22"/>
          <w:szCs w:val="22"/>
          <w:lang w:eastAsia="en-US"/>
        </w:rPr>
      </w:r>
    </w:p>
    <w:p>
      <w:pPr>
        <w:pBdr/>
        <w:spacing w:line="240" w:lineRule="auto"/>
        <w:ind w:right="153" w:firstLine="709"/>
        <w:rPr>
          <w:color w:val="000000"/>
          <w:sz w:val="22"/>
          <w:szCs w:val="22"/>
          <w:lang w:eastAsia="en-US"/>
        </w:rPr>
      </w:pPr>
      <w:r>
        <w:rPr>
          <w:b/>
          <w:bCs/>
          <w:color w:val="000000"/>
          <w:sz w:val="22"/>
          <w:szCs w:val="22"/>
          <w:lang w:eastAsia="en-US"/>
        </w:rPr>
        <w:t xml:space="preserve">Продление срока проведения процедуры:</w:t>
      </w:r>
      <w:r>
        <w:rPr>
          <w:color w:val="000000"/>
          <w:sz w:val="22"/>
          <w:szCs w:val="22"/>
          <w:lang w:eastAsia="en-US"/>
        </w:rPr>
        <w:t xml:space="preserve"> если конкурентная закупка признана несостоявшейся в случае, если не подано ни одной котировочной заявки, Заказчик вправе </w:t>
      </w:r>
      <w:r>
        <w:rPr>
          <w:color w:val="000000"/>
          <w:sz w:val="22"/>
          <w:szCs w:val="22"/>
          <w:lang w:eastAsia="en-US"/>
        </w:rPr>
        <w:t xml:space="preserve">не позднее 1 (одного) рабочего дня, следующего за днем истечения срока подачи заявок, однократно</w:t>
      </w:r>
      <w:r>
        <w:rPr>
          <w:color w:val="000000"/>
          <w:sz w:val="22"/>
          <w:szCs w:val="22"/>
          <w:lang w:eastAsia="en-US"/>
        </w:rPr>
        <w:t xml:space="preserve"> продлить срок подачи котировочных заявок не более чем на 5 (пять) рабочих дней.</w:t>
      </w:r>
      <w:r>
        <w:rPr>
          <w:color w:val="000000"/>
          <w:sz w:val="22"/>
          <w:szCs w:val="22"/>
          <w:lang w:eastAsia="en-US"/>
        </w:rPr>
      </w:r>
    </w:p>
    <w:p>
      <w:pPr>
        <w:pBdr/>
        <w:tabs>
          <w:tab w:val="left" w:leader="none" w:pos="360"/>
        </w:tabs>
        <w:spacing w:line="240" w:lineRule="auto"/>
        <w:ind w:firstLine="709"/>
        <w:rPr>
          <w:b/>
          <w:sz w:val="22"/>
          <w:szCs w:val="22"/>
          <w:lang w:eastAsia="ar-SA"/>
        </w:rPr>
      </w:pPr>
      <w:r>
        <w:rPr>
          <w:b/>
          <w:sz w:val="22"/>
          <w:szCs w:val="22"/>
        </w:rPr>
        <w:t xml:space="preserve">4.  Порядок рассмотрения заявок на участие в запросе котировок: </w:t>
      </w:r>
      <w:r>
        <w:rPr>
          <w:b/>
          <w:sz w:val="22"/>
          <w:szCs w:val="22"/>
          <w:lang w:eastAsia="ar-SA"/>
        </w:rPr>
      </w:r>
    </w:p>
    <w:p>
      <w:pPr>
        <w:pBdr/>
        <w:spacing w:line="240" w:lineRule="auto"/>
        <w:ind w:right="153" w:firstLine="709"/>
        <w:rPr>
          <w:color w:val="000000"/>
          <w:sz w:val="22"/>
          <w:szCs w:val="22"/>
          <w:lang w:eastAsia="en-US"/>
        </w:rPr>
      </w:pPr>
      <w:r>
        <w:rPr>
          <w:bCs/>
          <w:sz w:val="22"/>
          <w:szCs w:val="22"/>
        </w:rPr>
        <w:t xml:space="preserve">4.1. </w:t>
      </w:r>
      <w:r>
        <w:rPr>
          <w:sz w:val="22"/>
          <w:szCs w:val="22"/>
        </w:rPr>
        <w:t xml:space="preserve">Дата и место рассмотрения </w:t>
      </w:r>
      <w:r>
        <w:rPr>
          <w:sz w:val="22"/>
          <w:szCs w:val="22"/>
        </w:rPr>
        <w:t xml:space="preserve">заявок</w:t>
      </w:r>
      <w:r>
        <w:rPr>
          <w:sz w:val="22"/>
          <w:szCs w:val="22"/>
        </w:rPr>
        <w:t xml:space="preserve"> и подведение итогов: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СК, г. Георгиевск</w:t>
      </w:r>
      <w:r>
        <w:rPr>
          <w:sz w:val="22"/>
          <w:szCs w:val="22"/>
        </w:rPr>
        <w:t xml:space="preserve">, ул., Лермонтова, 59, </w:t>
      </w:r>
      <w:r>
        <w:rPr>
          <w:sz w:val="22"/>
          <w:szCs w:val="22"/>
        </w:rPr>
        <w:t xml:space="preserve">каб</w:t>
      </w:r>
      <w:r>
        <w:rPr>
          <w:sz w:val="22"/>
          <w:szCs w:val="22"/>
        </w:rPr>
        <w:t xml:space="preserve">. № 128</w:t>
      </w:r>
      <w:r>
        <w:rPr>
          <w:sz w:val="22"/>
          <w:szCs w:val="22"/>
        </w:rPr>
        <w:t xml:space="preserve">, </w:t>
      </w:r>
      <w:r>
        <w:rPr>
          <w:sz w:val="22"/>
          <w:szCs w:val="22"/>
          <w:highlight w:val="none"/>
        </w:rPr>
        <w:t xml:space="preserve">13</w:t>
      </w:r>
      <w:r>
        <w:rPr>
          <w:sz w:val="22"/>
          <w:szCs w:val="22"/>
          <w:highlight w:val="yellow"/>
        </w:rPr>
        <w:t xml:space="preserve">.05.2026</w:t>
      </w:r>
      <w:r>
        <w:rPr>
          <w:sz w:val="22"/>
          <w:szCs w:val="22"/>
          <w:highlight w:val="yellow"/>
        </w:rPr>
        <w:t xml:space="preserve"> г. 09</w:t>
      </w:r>
      <w:r>
        <w:rPr>
          <w:sz w:val="22"/>
          <w:szCs w:val="22"/>
          <w:highlight w:val="yellow"/>
        </w:rPr>
        <w:t xml:space="preserve">:</w:t>
      </w:r>
      <w:r>
        <w:rPr>
          <w:sz w:val="22"/>
          <w:szCs w:val="22"/>
          <w:highlight w:val="yellow"/>
        </w:rPr>
        <w:t xml:space="preserve">3</w:t>
      </w:r>
      <w:r>
        <w:rPr>
          <w:sz w:val="22"/>
          <w:szCs w:val="22"/>
          <w:highlight w:val="yellow"/>
        </w:rPr>
        <w:t xml:space="preserve">0 (</w:t>
      </w:r>
      <w:r>
        <w:rPr>
          <w:sz w:val="22"/>
          <w:szCs w:val="22"/>
          <w:highlight w:val="yellow"/>
        </w:rPr>
        <w:t xml:space="preserve">мск</w:t>
      </w:r>
      <w:r>
        <w:rPr>
          <w:sz w:val="22"/>
          <w:szCs w:val="22"/>
          <w:highlight w:val="yellow"/>
        </w:rPr>
        <w:t xml:space="preserve">)</w:t>
      </w:r>
      <w:r>
        <w:rPr>
          <w:bCs/>
          <w:color w:val="000000"/>
          <w:sz w:val="22"/>
          <w:szCs w:val="22"/>
          <w:highlight w:val="yellow"/>
        </w:rPr>
        <w:t xml:space="preserve">.</w:t>
      </w:r>
      <w:r>
        <w:rPr>
          <w:color w:val="000000"/>
          <w:sz w:val="22"/>
          <w:szCs w:val="22"/>
          <w:lang w:eastAsia="en-US"/>
        </w:rPr>
      </w:r>
    </w:p>
    <w:p>
      <w:pPr>
        <w:pBdr/>
        <w:spacing w:line="240" w:lineRule="auto"/>
        <w:ind w:right="153" w:firstLine="709"/>
        <w:rPr>
          <w:sz w:val="22"/>
          <w:szCs w:val="24"/>
        </w:rPr>
      </w:pPr>
      <w:r>
        <w:rPr>
          <w:sz w:val="22"/>
        </w:rPr>
        <w:t xml:space="preserve">4.2. Протокол рассмотрения и подведения итогов закупки размещается в единой информационной системе не позднее трех дней со дня его подписания.</w:t>
      </w:r>
      <w:r>
        <w:rPr>
          <w:sz w:val="22"/>
          <w:szCs w:val="24"/>
        </w:rPr>
      </w:r>
    </w:p>
    <w:p>
      <w:pPr>
        <w:pBdr/>
        <w:spacing w:line="240" w:lineRule="auto"/>
        <w:ind w:firstLine="709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5. Предмет закупки: </w:t>
      </w:r>
      <w:r>
        <w:rPr>
          <w:sz w:val="22"/>
          <w:szCs w:val="22"/>
          <w:highlight w:val="yellow"/>
        </w:rPr>
        <w:t xml:space="preserve">поставка </w:t>
      </w:r>
      <w:r>
        <w:rPr>
          <w:sz w:val="22"/>
          <w:szCs w:val="22"/>
          <w:highlight w:val="yellow"/>
        </w:rPr>
        <w:t xml:space="preserve">препаратов стоматологических</w:t>
      </w:r>
      <w:r>
        <w:rPr>
          <w:b/>
          <w:sz w:val="22"/>
          <w:szCs w:val="22"/>
          <w:highlight w:val="yellow"/>
        </w:rPr>
        <w:t xml:space="preserve"> </w:t>
      </w:r>
      <w:r>
        <w:rPr>
          <w:sz w:val="22"/>
          <w:szCs w:val="22"/>
          <w:highlight w:val="yellow"/>
        </w:rPr>
        <w:t xml:space="preserve">для нужд</w:t>
      </w:r>
      <w:r>
        <w:rPr>
          <w:b/>
          <w:sz w:val="22"/>
          <w:szCs w:val="22"/>
          <w:highlight w:val="yellow"/>
        </w:rPr>
        <w:t xml:space="preserve"> </w:t>
      </w:r>
      <w:r>
        <w:rPr>
          <w:sz w:val="22"/>
          <w:szCs w:val="22"/>
          <w:highlight w:val="yellow"/>
        </w:rPr>
        <w:t xml:space="preserve">ортопедического отделения</w:t>
      </w:r>
      <w:r>
        <w:rPr>
          <w:sz w:val="22"/>
          <w:szCs w:val="22"/>
          <w:highlight w:val="yellow"/>
        </w:rPr>
        <w:t xml:space="preserve"> государственного </w:t>
      </w:r>
      <w:r>
        <w:rPr>
          <w:sz w:val="22"/>
          <w:szCs w:val="22"/>
          <w:highlight w:val="yellow"/>
        </w:rPr>
        <w:t xml:space="preserve">автономного учреждения здравоохранения Ставропольского края «Георгиевская стоматологическая поликлиника»</w:t>
      </w:r>
      <w:r>
        <w:rPr>
          <w:sz w:val="22"/>
          <w:szCs w:val="22"/>
          <w:highlight w:val="yellow"/>
        </w:rPr>
        <w:t xml:space="preserve">, </w:t>
      </w:r>
      <w:r>
        <w:rPr>
          <w:sz w:val="22"/>
          <w:szCs w:val="22"/>
          <w:highlight w:val="yellow"/>
          <w:lang w:bidi="en-US"/>
        </w:rPr>
        <w:t xml:space="preserve">в соответствии с условиями, установленными настоящим извещением о проведении </w:t>
      </w:r>
      <w:r>
        <w:rPr>
          <w:sz w:val="22"/>
          <w:szCs w:val="22"/>
          <w:highlight w:val="yellow"/>
          <w:lang w:eastAsia="en-US" w:bidi="en-US"/>
        </w:rPr>
        <w:t xml:space="preserve">запроса котировок в электронной форме и в соответствии с </w:t>
      </w:r>
      <w:r>
        <w:rPr>
          <w:sz w:val="22"/>
          <w:szCs w:val="22"/>
          <w:highlight w:val="yellow"/>
        </w:rPr>
        <w:t xml:space="preserve">частью 4.</w:t>
      </w:r>
      <w:r>
        <w:rPr>
          <w:b/>
          <w:szCs w:val="28"/>
          <w:highlight w:val="yellow"/>
        </w:rPr>
        <w:t xml:space="preserve"> </w:t>
      </w:r>
      <w:r>
        <w:rPr>
          <w:sz w:val="22"/>
          <w:szCs w:val="22"/>
          <w:highlight w:val="yellow"/>
          <w:lang w:eastAsia="en-US" w:bidi="en-US"/>
        </w:rPr>
        <w:t xml:space="preserve">«Техническое задание» извещения о проведении запроса котировок в электронной форме.</w:t>
      </w: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</w:r>
    </w:p>
    <w:p>
      <w:pPr>
        <w:widowControl w:val="false"/>
        <w:pBdr/>
        <w:spacing w:line="240" w:lineRule="auto"/>
        <w:ind w:firstLine="709"/>
        <w:rPr>
          <w:b/>
          <w:bCs/>
          <w:sz w:val="22"/>
          <w:szCs w:val="22"/>
        </w:rPr>
      </w:pPr>
      <w:r/>
      <w:bookmarkStart w:id="2" w:name="sub_125"/>
      <w:r>
        <w:rPr>
          <w:b/>
          <w:bCs/>
          <w:sz w:val="22"/>
          <w:szCs w:val="22"/>
        </w:rPr>
        <w:t xml:space="preserve">6. Требования к котировочной заявке</w:t>
      </w:r>
      <w:r>
        <w:rPr>
          <w:b/>
          <w:bCs/>
          <w:sz w:val="22"/>
          <w:szCs w:val="22"/>
        </w:rPr>
      </w:r>
    </w:p>
    <w:p>
      <w:pPr>
        <w:pBdr/>
        <w:spacing w:line="240" w:lineRule="auto"/>
        <w:ind w:firstLine="709"/>
        <w:rPr>
          <w:rStyle w:val="787"/>
          <w:rFonts w:ascii="Times New Roman" w:hAnsi="Times New Roman"/>
          <w:sz w:val="22"/>
          <w:szCs w:val="22"/>
        </w:rPr>
      </w:pPr>
      <w:r>
        <w:rPr>
          <w:rStyle w:val="787"/>
          <w:rFonts w:ascii="Times New Roman" w:hAnsi="Times New Roman"/>
          <w:sz w:val="22"/>
          <w:szCs w:val="22"/>
        </w:rPr>
        <w:t xml:space="preserve">6.1. Для участия в проведении запроса котировок участник закупки должен подготовить котировочную заявку, оформленную в полном соответствии с требованиями извещения о проведении запроса котировок. </w:t>
      </w:r>
      <w:r>
        <w:rPr>
          <w:rStyle w:val="787"/>
          <w:rFonts w:ascii="Times New Roman" w:hAnsi="Times New Roman"/>
          <w:sz w:val="22"/>
          <w:szCs w:val="22"/>
        </w:rPr>
      </w:r>
    </w:p>
    <w:p>
      <w:pPr>
        <w:pBdr/>
        <w:spacing w:line="240" w:lineRule="auto"/>
        <w:ind w:firstLine="709"/>
        <w:rPr>
          <w:rStyle w:val="787"/>
          <w:rFonts w:ascii="Times New Roman" w:hAnsi="Times New Roman"/>
          <w:sz w:val="22"/>
          <w:szCs w:val="22"/>
        </w:rPr>
      </w:pPr>
      <w:r>
        <w:rPr>
          <w:rStyle w:val="787"/>
          <w:rFonts w:ascii="Times New Roman" w:hAnsi="Times New Roman"/>
          <w:sz w:val="22"/>
          <w:szCs w:val="22"/>
        </w:rPr>
        <w:t xml:space="preserve">6.2. Котировочная заявка должна содержать: </w:t>
      </w:r>
      <w:r>
        <w:rPr>
          <w:rStyle w:val="787"/>
          <w:rFonts w:ascii="Times New Roman" w:hAnsi="Times New Roman"/>
          <w:sz w:val="22"/>
          <w:szCs w:val="22"/>
        </w:rPr>
      </w:r>
    </w:p>
    <w:p>
      <w:pPr>
        <w:widowControl w:val="false"/>
        <w:pBdr/>
        <w:spacing w:line="240" w:lineRule="auto"/>
        <w:ind w:firstLine="709"/>
        <w:rPr/>
      </w:pPr>
      <w:r>
        <w:rPr>
          <w:rStyle w:val="787"/>
          <w:rFonts w:ascii="Times New Roman" w:hAnsi="Times New Roman"/>
          <w:sz w:val="22"/>
          <w:szCs w:val="22"/>
        </w:rPr>
        <w:t xml:space="preserve">6.2.1. для юридического лица, индивидуального предпринимателя, физического лица:</w:t>
      </w:r>
      <w:r>
        <w:rPr>
          <w:color w:val="000000"/>
          <w:sz w:val="22"/>
          <w:szCs w:val="22"/>
        </w:rPr>
        <w:t xml:space="preserve"> </w:t>
      </w:r>
      <w:r/>
    </w:p>
    <w:p>
      <w:pPr>
        <w:widowControl w:val="false"/>
        <w:pBdr/>
        <w:spacing w:line="240" w:lineRule="auto"/>
        <w:ind w:firstLine="0"/>
        <w:rPr>
          <w:rStyle w:val="787"/>
          <w:rFonts w:ascii="Times New Roman" w:hAnsi="Times New Roman"/>
          <w:sz w:val="22"/>
          <w:szCs w:val="22"/>
        </w:rPr>
      </w:pPr>
      <w:r>
        <w:rPr>
          <w:color w:val="000000"/>
          <w:sz w:val="22"/>
          <w:szCs w:val="22"/>
        </w:rPr>
        <w:t xml:space="preserve">а</w:t>
      </w:r>
      <w:r>
        <w:rPr>
          <w:rStyle w:val="787"/>
          <w:rFonts w:ascii="Times New Roman" w:hAnsi="Times New Roman"/>
          <w:sz w:val="22"/>
          <w:szCs w:val="22"/>
        </w:rPr>
        <w:t xml:space="preserve">) </w:t>
      </w:r>
      <w:r>
        <w:rPr>
          <w:sz w:val="22"/>
          <w:szCs w:val="22"/>
        </w:rPr>
        <w:t xml:space="preserve">заполненные формы и техническое задание котировочной заявки в соответствии с требованиями извещения о проведении запроса котировок в соответствии с </w:t>
      </w:r>
      <w:r>
        <w:rPr>
          <w:color w:val="000000"/>
          <w:sz w:val="22"/>
          <w:szCs w:val="22"/>
        </w:rPr>
        <w:t xml:space="preserve">частями 3, 4 извещения о проведении запроса котировок в электронной форме;</w:t>
      </w:r>
      <w:r>
        <w:rPr>
          <w:rStyle w:val="787"/>
          <w:rFonts w:ascii="Times New Roman" w:hAnsi="Times New Roman"/>
          <w:sz w:val="22"/>
          <w:szCs w:val="22"/>
        </w:rPr>
        <w:t xml:space="preserve"> </w:t>
      </w:r>
      <w:r>
        <w:rPr>
          <w:rStyle w:val="787"/>
          <w:rFonts w:ascii="Times New Roman" w:hAnsi="Times New Roman"/>
          <w:sz w:val="22"/>
          <w:szCs w:val="22"/>
        </w:rPr>
      </w:r>
    </w:p>
    <w:p>
      <w:pPr>
        <w:pBdr/>
        <w:spacing w:line="240" w:lineRule="auto"/>
        <w:ind w:firstLine="0"/>
        <w:rPr>
          <w:rStyle w:val="787"/>
          <w:rFonts w:ascii="Times New Roman" w:hAnsi="Times New Roman"/>
          <w:sz w:val="22"/>
          <w:szCs w:val="22"/>
        </w:rPr>
      </w:pPr>
      <w:r>
        <w:rPr>
          <w:rStyle w:val="787"/>
          <w:rFonts w:ascii="Times New Roman" w:hAnsi="Times New Roman"/>
          <w:sz w:val="22"/>
          <w:szCs w:val="22"/>
        </w:rPr>
        <w:t xml:space="preserve">б) сведения о функциональных характеристиках (потребительских свойствах) и качественных характеристиках товара, работ, услуг</w:t>
      </w:r>
      <w:r>
        <w:rPr>
          <w:rStyle w:val="787"/>
          <w:rFonts w:ascii="Times New Roman" w:hAnsi="Times New Roman"/>
          <w:sz w:val="22"/>
          <w:szCs w:val="22"/>
        </w:rPr>
        <w:t xml:space="preserve">;</w:t>
      </w:r>
      <w:r>
        <w:rPr>
          <w:rStyle w:val="787"/>
          <w:rFonts w:ascii="Times New Roman" w:hAnsi="Times New Roman"/>
          <w:sz w:val="22"/>
          <w:szCs w:val="22"/>
        </w:rPr>
        <w:t xml:space="preserve"> </w:t>
      </w:r>
      <w:r>
        <w:rPr>
          <w:rStyle w:val="787"/>
          <w:rFonts w:ascii="Times New Roman" w:hAnsi="Times New Roman"/>
          <w:sz w:val="22"/>
          <w:szCs w:val="22"/>
        </w:rPr>
      </w:r>
    </w:p>
    <w:p>
      <w:pPr>
        <w:pBdr/>
        <w:spacing w:line="240" w:lineRule="auto"/>
        <w:ind w:firstLine="0"/>
        <w:rPr>
          <w:rStyle w:val="787"/>
          <w:rFonts w:ascii="Times New Roman" w:hAnsi="Times New Roman"/>
          <w:sz w:val="22"/>
          <w:szCs w:val="22"/>
        </w:rPr>
      </w:pPr>
      <w:r>
        <w:rPr>
          <w:rStyle w:val="787"/>
          <w:rFonts w:ascii="Times New Roman" w:hAnsi="Times New Roman"/>
          <w:sz w:val="22"/>
          <w:szCs w:val="22"/>
        </w:rPr>
        <w:t xml:space="preserve">в) согласие участника закупки исполнить условия договора, указанные в извещении о проведении запроса котировок;</w:t>
      </w:r>
      <w:r>
        <w:rPr>
          <w:rStyle w:val="787"/>
          <w:rFonts w:ascii="Times New Roman" w:hAnsi="Times New Roman"/>
          <w:sz w:val="22"/>
          <w:szCs w:val="22"/>
        </w:rPr>
      </w:r>
    </w:p>
    <w:p>
      <w:pPr>
        <w:pBdr/>
        <w:spacing w:line="240" w:lineRule="auto"/>
        <w:ind w:firstLine="0"/>
        <w:rPr>
          <w:rStyle w:val="787"/>
          <w:rFonts w:ascii="Times New Roman" w:hAnsi="Times New Roman"/>
          <w:sz w:val="22"/>
          <w:szCs w:val="22"/>
        </w:rPr>
      </w:pPr>
      <w:r>
        <w:rPr>
          <w:rStyle w:val="787"/>
          <w:rFonts w:ascii="Times New Roman" w:hAnsi="Times New Roman"/>
          <w:sz w:val="22"/>
          <w:szCs w:val="22"/>
        </w:rPr>
        <w:t xml:space="preserve">г</w:t>
      </w:r>
      <w:r>
        <w:rPr>
          <w:rStyle w:val="787"/>
          <w:rFonts w:ascii="Times New Roman" w:hAnsi="Times New Roman"/>
          <w:sz w:val="22"/>
          <w:szCs w:val="22"/>
        </w:rPr>
        <w:t xml:space="preserve">) цена договора, в том числе цена товара, работы, услуги с указанием сведений о включенных или не включенных в нее расходах (расходы на перевозку, страхование, уплату таможенных пошлин, налогов, сборов и другие обязательные платежи); </w:t>
      </w:r>
      <w:r>
        <w:rPr>
          <w:rStyle w:val="787"/>
          <w:rFonts w:ascii="Times New Roman" w:hAnsi="Times New Roman"/>
          <w:sz w:val="22"/>
          <w:szCs w:val="22"/>
        </w:rPr>
        <w:tab/>
      </w:r>
      <w:r>
        <w:rPr>
          <w:color w:val="000000"/>
          <w:sz w:val="22"/>
          <w:szCs w:val="22"/>
        </w:rPr>
        <w:br/>
      </w:r>
      <w:r>
        <w:rPr>
          <w:rStyle w:val="787"/>
          <w:rFonts w:ascii="Times New Roman" w:hAnsi="Times New Roman"/>
          <w:sz w:val="22"/>
          <w:szCs w:val="22"/>
        </w:rPr>
        <w:t xml:space="preserve">д</w:t>
      </w:r>
      <w:r>
        <w:rPr>
          <w:rStyle w:val="787"/>
          <w:rFonts w:ascii="Times New Roman" w:hAnsi="Times New Roman"/>
          <w:sz w:val="22"/>
          <w:szCs w:val="22"/>
        </w:rPr>
        <w:t xml:space="preserve">) иные документы или копии документов, перечень которых определен извещением о проведении запроса котировок, подтверждающие соответствие котировочной заявки требованиям, установленным в извещении.</w:t>
      </w:r>
      <w:r>
        <w:rPr>
          <w:rStyle w:val="787"/>
          <w:rFonts w:ascii="Times New Roman" w:hAnsi="Times New Roman"/>
          <w:sz w:val="22"/>
          <w:szCs w:val="22"/>
        </w:rPr>
      </w:r>
    </w:p>
    <w:p>
      <w:pPr>
        <w:pBdr/>
        <w:spacing w:line="240" w:lineRule="auto"/>
        <w:ind w:firstLine="709"/>
        <w:rPr/>
      </w:pPr>
      <w:r>
        <w:rPr>
          <w:rStyle w:val="787"/>
          <w:rFonts w:ascii="Times New Roman" w:hAnsi="Times New Roman"/>
          <w:sz w:val="22"/>
          <w:szCs w:val="22"/>
        </w:rPr>
        <w:t xml:space="preserve">6.2.2. для группы (нескольких лиц) лиц, выступающих на стороне одного участника закупки:</w:t>
      </w:r>
      <w:r>
        <w:rPr>
          <w:color w:val="000000"/>
          <w:sz w:val="22"/>
          <w:szCs w:val="22"/>
        </w:rPr>
        <w:br/>
      </w:r>
      <w:r>
        <w:rPr>
          <w:rStyle w:val="787"/>
          <w:rFonts w:ascii="Times New Roman" w:hAnsi="Times New Roman"/>
          <w:sz w:val="22"/>
          <w:szCs w:val="22"/>
        </w:rPr>
        <w:t xml:space="preserve">а) документ, подтверждающий объединение лиц, выступающих на стороне одного участника закупки в группу (оригинал или нотариально заверенная копия), и право конкретного участника закупки участвовать в запросе котировок от имени группы лиц, в том числ</w:t>
      </w:r>
      <w:r>
        <w:rPr>
          <w:rStyle w:val="787"/>
          <w:rFonts w:ascii="Times New Roman" w:hAnsi="Times New Roman"/>
          <w:sz w:val="22"/>
          <w:szCs w:val="22"/>
        </w:rPr>
        <w:t xml:space="preserve">е подавать котировочную заявку, </w:t>
      </w:r>
      <w:r>
        <w:rPr>
          <w:rStyle w:val="787"/>
          <w:rFonts w:ascii="Times New Roman" w:hAnsi="Times New Roman"/>
          <w:sz w:val="22"/>
          <w:szCs w:val="22"/>
        </w:rPr>
        <w:t xml:space="preserve">подписать договор;</w:t>
      </w:r>
      <w:r>
        <w:rPr>
          <w:color w:val="000000"/>
          <w:sz w:val="22"/>
          <w:szCs w:val="22"/>
        </w:rPr>
        <w:br/>
      </w:r>
      <w:r>
        <w:rPr>
          <w:rStyle w:val="787"/>
          <w:rFonts w:ascii="Times New Roman" w:hAnsi="Times New Roman"/>
          <w:sz w:val="22"/>
          <w:szCs w:val="22"/>
        </w:rPr>
        <w:t xml:space="preserve">б) документы и сведения в соответствии с пунктом 6.2.1, настоящего Извещения участника закупки, которому от имени группы лиц поручено подать котировочную заявку.</w:t>
      </w:r>
      <w:r/>
    </w:p>
    <w:p>
      <w:pPr>
        <w:pBdr/>
        <w:spacing w:line="240" w:lineRule="auto"/>
        <w:ind w:firstLine="709"/>
        <w:rPr>
          <w:rStyle w:val="787"/>
          <w:rFonts w:ascii="Times New Roman" w:hAnsi="Times New Roman"/>
          <w:sz w:val="22"/>
          <w:szCs w:val="22"/>
        </w:rPr>
      </w:pPr>
      <w:r>
        <w:rPr>
          <w:rStyle w:val="787"/>
          <w:rFonts w:ascii="Times New Roman" w:hAnsi="Times New Roman"/>
          <w:sz w:val="22"/>
          <w:szCs w:val="22"/>
        </w:rPr>
        <w:t xml:space="preserve">6.2.3. Иные требования к котировочной заявке устанавливаются в извещении о проведении запроса котировок в зависимости от предмета закупки.</w:t>
      </w:r>
      <w:r>
        <w:rPr>
          <w:rStyle w:val="787"/>
          <w:rFonts w:ascii="Times New Roman" w:hAnsi="Times New Roman"/>
          <w:sz w:val="22"/>
          <w:szCs w:val="22"/>
        </w:rPr>
      </w:r>
    </w:p>
    <w:p>
      <w:pPr>
        <w:pBdr/>
        <w:spacing w:line="240" w:lineRule="auto"/>
        <w:ind w:firstLine="709"/>
        <w:rPr>
          <w:rStyle w:val="787"/>
          <w:rFonts w:ascii="Times New Roman" w:hAnsi="Times New Roman"/>
          <w:sz w:val="22"/>
          <w:szCs w:val="22"/>
        </w:rPr>
      </w:pPr>
      <w:r/>
      <w:bookmarkStart w:id="3" w:name="_Hlk77756636"/>
      <w:r>
        <w:rPr>
          <w:rStyle w:val="787"/>
          <w:rFonts w:ascii="Times New Roman" w:hAnsi="Times New Roman"/>
          <w:sz w:val="22"/>
          <w:szCs w:val="22"/>
        </w:rPr>
        <w:t xml:space="preserve">6.3. Входящие в заявку на участие в запросе котировок в электронной форме документы, оригиналы которых выданы участнику закупки третьими лицами на ином языке, могут быть представлены на этом языке при условии, что к ним будет прилага</w:t>
      </w:r>
      <w:r>
        <w:rPr>
          <w:rStyle w:val="787"/>
          <w:rFonts w:ascii="Times New Roman" w:hAnsi="Times New Roman"/>
          <w:sz w:val="22"/>
          <w:szCs w:val="22"/>
        </w:rPr>
        <w:t xml:space="preserve">ться надлежащим образом, заверенный перевод на русском языке. В случае противоречия оригинала и перевода преимущество будет иметь перевод. Допускается использование в информации и документах, представленных в составе заявки на участие в запросе котировок в</w:t>
      </w:r>
      <w:r>
        <w:rPr>
          <w:rStyle w:val="787"/>
          <w:rFonts w:ascii="Times New Roman" w:hAnsi="Times New Roman"/>
          <w:sz w:val="22"/>
          <w:szCs w:val="22"/>
        </w:rPr>
        <w:t xml:space="preserve"> электронной форме, отдельных слов и словосочетаний, обозначающих товарные знаки, знаки обслуживания, фирменные наименования, патенты, полезные модели, промышленные образцы, места происхождения товара, на иностранном языке без перевода (при необходимости).</w:t>
      </w:r>
      <w:r>
        <w:rPr>
          <w:rStyle w:val="787"/>
          <w:rFonts w:ascii="Times New Roman" w:hAnsi="Times New Roman"/>
          <w:sz w:val="22"/>
          <w:szCs w:val="22"/>
        </w:rPr>
      </w:r>
    </w:p>
    <w:p>
      <w:pPr>
        <w:pBdr/>
        <w:spacing w:line="240" w:lineRule="auto"/>
        <w:ind w:firstLine="709"/>
        <w:rPr>
          <w:rStyle w:val="787"/>
          <w:rFonts w:ascii="Times New Roman" w:hAnsi="Times New Roman"/>
          <w:sz w:val="22"/>
          <w:szCs w:val="22"/>
        </w:rPr>
      </w:pPr>
      <w:r>
        <w:rPr>
          <w:rStyle w:val="787"/>
          <w:rFonts w:ascii="Times New Roman" w:hAnsi="Times New Roman"/>
          <w:sz w:val="22"/>
          <w:szCs w:val="22"/>
        </w:rPr>
        <w:t xml:space="preserve">Все документы, входящие в состав заявки на участие в запросе котировок в электронной форме, должны иметь четко читаемый текст.</w:t>
      </w:r>
      <w:r>
        <w:rPr>
          <w:rStyle w:val="787"/>
          <w:rFonts w:ascii="Times New Roman" w:hAnsi="Times New Roman"/>
          <w:sz w:val="22"/>
          <w:szCs w:val="22"/>
        </w:rPr>
      </w:r>
    </w:p>
    <w:p>
      <w:pPr>
        <w:pBdr/>
        <w:spacing w:line="240" w:lineRule="auto"/>
        <w:ind w:firstLine="709"/>
        <w:rPr>
          <w:rStyle w:val="787"/>
          <w:rFonts w:ascii="Times New Roman" w:hAnsi="Times New Roman"/>
          <w:sz w:val="22"/>
          <w:szCs w:val="22"/>
        </w:rPr>
      </w:pPr>
      <w:r>
        <w:rPr>
          <w:rStyle w:val="787"/>
          <w:rFonts w:ascii="Times New Roman" w:hAnsi="Times New Roman"/>
          <w:sz w:val="22"/>
          <w:szCs w:val="22"/>
        </w:rPr>
        <w:t xml:space="preserve">Информация, содержащаяся в заявке на участие в запросе котировок в электронной форме, не должны допускать двусмысленных толкований (разночтений), должны трактоваться однозначно.</w:t>
      </w:r>
      <w:r>
        <w:rPr>
          <w:rStyle w:val="787"/>
          <w:rFonts w:ascii="Times New Roman" w:hAnsi="Times New Roman"/>
          <w:sz w:val="22"/>
          <w:szCs w:val="22"/>
        </w:rPr>
      </w:r>
    </w:p>
    <w:p>
      <w:pPr>
        <w:pBdr/>
        <w:spacing w:line="240" w:lineRule="auto"/>
        <w:ind w:firstLine="709"/>
        <w:rPr>
          <w:rStyle w:val="787"/>
          <w:rFonts w:ascii="Times New Roman" w:hAnsi="Times New Roman"/>
          <w:sz w:val="22"/>
          <w:szCs w:val="22"/>
        </w:rPr>
      </w:pPr>
      <w:r>
        <w:rPr>
          <w:rStyle w:val="787"/>
          <w:rFonts w:ascii="Times New Roman" w:hAnsi="Times New Roman"/>
          <w:sz w:val="22"/>
          <w:szCs w:val="22"/>
        </w:rPr>
        <w:t xml:space="preserve">Все файлы не должны иметь защиты от их открытия, изменения, копирования их содержимого или их печати. Файлы с документами заявки рекомендуется </w:t>
      </w:r>
      <w:r>
        <w:rPr>
          <w:rStyle w:val="787"/>
          <w:rFonts w:ascii="Times New Roman" w:hAnsi="Times New Roman"/>
          <w:sz w:val="22"/>
          <w:szCs w:val="22"/>
        </w:rPr>
        <w:t xml:space="preserve">именовать</w:t>
      </w:r>
      <w:r>
        <w:rPr>
          <w:rStyle w:val="787"/>
          <w:rFonts w:ascii="Times New Roman" w:hAnsi="Times New Roman"/>
          <w:sz w:val="22"/>
          <w:szCs w:val="22"/>
        </w:rPr>
        <w:t xml:space="preserve"> таким образом, который бы позволял идентифицировать содержание данного файла заявки, с указанием наименования документа, представленного данным файлом (каждый документ рекомендуется размещать в отдельном файле).</w:t>
      </w:r>
      <w:bookmarkEnd w:id="3"/>
      <w:r>
        <w:rPr>
          <w:rStyle w:val="787"/>
          <w:rFonts w:ascii="Times New Roman" w:hAnsi="Times New Roman"/>
          <w:sz w:val="22"/>
          <w:szCs w:val="22"/>
        </w:rPr>
      </w:r>
    </w:p>
    <w:p>
      <w:pPr>
        <w:pBdr/>
        <w:spacing w:line="240" w:lineRule="auto"/>
        <w:ind w:firstLine="709"/>
        <w:rPr>
          <w:rStyle w:val="787"/>
          <w:rFonts w:ascii="Times New Roman" w:hAnsi="Times New Roman"/>
          <w:sz w:val="22"/>
          <w:szCs w:val="22"/>
        </w:rPr>
      </w:pPr>
      <w:r>
        <w:rPr>
          <w:rStyle w:val="787"/>
          <w:rFonts w:ascii="Times New Roman" w:hAnsi="Times New Roman"/>
          <w:sz w:val="22"/>
          <w:szCs w:val="22"/>
        </w:rPr>
        <w:t xml:space="preserve">6.</w:t>
      </w:r>
      <w:r>
        <w:rPr>
          <w:rStyle w:val="787"/>
          <w:rFonts w:ascii="Times New Roman" w:hAnsi="Times New Roman"/>
          <w:sz w:val="22"/>
          <w:szCs w:val="22"/>
        </w:rPr>
        <w:t xml:space="preserve">4</w:t>
      </w:r>
      <w:r>
        <w:rPr>
          <w:rStyle w:val="787"/>
          <w:rFonts w:ascii="Times New Roman" w:hAnsi="Times New Roman"/>
          <w:sz w:val="22"/>
          <w:szCs w:val="22"/>
        </w:rPr>
        <w:t xml:space="preserve">. </w:t>
      </w:r>
      <w:r>
        <w:rPr>
          <w:rStyle w:val="787"/>
          <w:rFonts w:ascii="Times New Roman" w:hAnsi="Times New Roman"/>
          <w:b/>
          <w:bCs/>
          <w:sz w:val="22"/>
          <w:szCs w:val="22"/>
        </w:rPr>
        <w:t xml:space="preserve">Требования к описанию </w:t>
      </w:r>
      <w:r>
        <w:rPr>
          <w:rStyle w:val="787"/>
          <w:rFonts w:ascii="Times New Roman" w:hAnsi="Times New Roman"/>
          <w:b/>
          <w:bCs/>
          <w:sz w:val="22"/>
          <w:szCs w:val="22"/>
        </w:rPr>
        <w:t xml:space="preserve">предмета</w:t>
      </w:r>
      <w:r>
        <w:rPr>
          <w:rStyle w:val="787"/>
          <w:rFonts w:ascii="Times New Roman" w:hAnsi="Times New Roman"/>
          <w:b/>
          <w:bCs/>
          <w:sz w:val="22"/>
          <w:szCs w:val="22"/>
        </w:rPr>
        <w:t xml:space="preserve"> закупки:</w:t>
      </w:r>
      <w:r>
        <w:rPr>
          <w:rStyle w:val="787"/>
          <w:rFonts w:ascii="Times New Roman" w:hAnsi="Times New Roman"/>
          <w:sz w:val="22"/>
          <w:szCs w:val="22"/>
        </w:rPr>
        <w:t xml:space="preserve"> </w:t>
      </w:r>
      <w:r>
        <w:rPr>
          <w:rStyle w:val="787"/>
          <w:rFonts w:ascii="Times New Roman" w:hAnsi="Times New Roman"/>
          <w:sz w:val="22"/>
          <w:szCs w:val="22"/>
        </w:rPr>
        <w:t xml:space="preserve">Требования к описанию продукции участниками устанавливаются в целях обеспечения возможности выявления однозначного соответствия или несоответствия предлагаемой продукции потребностям заказчика.</w:t>
      </w:r>
      <w:r>
        <w:rPr>
          <w:rStyle w:val="787"/>
          <w:rFonts w:ascii="Times New Roman" w:hAnsi="Times New Roman"/>
          <w:sz w:val="22"/>
          <w:szCs w:val="22"/>
        </w:rPr>
      </w:r>
    </w:p>
    <w:p>
      <w:pPr>
        <w:pBdr/>
        <w:spacing w:line="240" w:lineRule="auto"/>
        <w:ind w:firstLine="709"/>
        <w:rPr>
          <w:rStyle w:val="787"/>
          <w:rFonts w:ascii="Times New Roman" w:hAnsi="Times New Roman"/>
          <w:sz w:val="22"/>
          <w:szCs w:val="22"/>
        </w:rPr>
      </w:pPr>
      <w:r>
        <w:rPr>
          <w:rStyle w:val="787"/>
          <w:rFonts w:ascii="Times New Roman" w:hAnsi="Times New Roman"/>
          <w:sz w:val="22"/>
          <w:szCs w:val="22"/>
        </w:rPr>
        <w:t xml:space="preserve">Описание продукции должно быть подготовлено участником в соответствии с требованиями извещения о закупке и в зависимости от условий извещения о закупке для каждого требования или их совокупности может быть представлено в виде:</w:t>
      </w:r>
      <w:r>
        <w:rPr>
          <w:rStyle w:val="787"/>
          <w:rFonts w:ascii="Times New Roman" w:hAnsi="Times New Roman"/>
          <w:sz w:val="22"/>
          <w:szCs w:val="22"/>
        </w:rPr>
      </w:r>
    </w:p>
    <w:p>
      <w:pPr>
        <w:pBdr/>
        <w:spacing w:line="240" w:lineRule="auto"/>
        <w:ind w:firstLine="709"/>
        <w:rPr>
          <w:rStyle w:val="787"/>
          <w:rFonts w:ascii="Times New Roman" w:hAnsi="Times New Roman"/>
          <w:sz w:val="22"/>
          <w:szCs w:val="22"/>
        </w:rPr>
      </w:pPr>
      <w:r>
        <w:rPr>
          <w:rStyle w:val="787"/>
          <w:rFonts w:ascii="Times New Roman" w:hAnsi="Times New Roman"/>
          <w:sz w:val="22"/>
          <w:szCs w:val="22"/>
        </w:rPr>
        <w:t xml:space="preserve">1)</w:t>
      </w:r>
      <w:r>
        <w:rPr>
          <w:rStyle w:val="787"/>
          <w:rFonts w:ascii="Times New Roman" w:hAnsi="Times New Roman"/>
          <w:sz w:val="22"/>
          <w:szCs w:val="22"/>
        </w:rPr>
        <w:tab/>
        <w:t xml:space="preserve">согласия (декларации) участника с требованием;</w:t>
      </w:r>
      <w:r>
        <w:rPr>
          <w:rStyle w:val="787"/>
          <w:rFonts w:ascii="Times New Roman" w:hAnsi="Times New Roman"/>
          <w:sz w:val="22"/>
          <w:szCs w:val="22"/>
        </w:rPr>
      </w:r>
    </w:p>
    <w:p>
      <w:pPr>
        <w:pBdr/>
        <w:spacing w:line="240" w:lineRule="auto"/>
        <w:ind w:firstLine="709"/>
        <w:rPr>
          <w:rStyle w:val="787"/>
          <w:rFonts w:ascii="Times New Roman" w:hAnsi="Times New Roman"/>
          <w:sz w:val="22"/>
          <w:szCs w:val="22"/>
        </w:rPr>
      </w:pPr>
      <w:r>
        <w:rPr>
          <w:rStyle w:val="787"/>
          <w:rFonts w:ascii="Times New Roman" w:hAnsi="Times New Roman"/>
          <w:sz w:val="22"/>
          <w:szCs w:val="22"/>
        </w:rPr>
        <w:t xml:space="preserve">2)</w:t>
      </w:r>
      <w:r>
        <w:rPr>
          <w:rStyle w:val="787"/>
          <w:rFonts w:ascii="Times New Roman" w:hAnsi="Times New Roman"/>
          <w:sz w:val="22"/>
          <w:szCs w:val="22"/>
        </w:rPr>
        <w:tab/>
        <w:t xml:space="preserve">подробного предложения участника о выполнении требования, в том числе указания производителя и страны происхождения товара, предложения в отношении функциональных характеристик (потребительских свойств), количественных и качественных </w:t>
      </w:r>
      <w:r>
        <w:rPr>
          <w:rStyle w:val="787"/>
          <w:rFonts w:ascii="Times New Roman" w:hAnsi="Times New Roman"/>
          <w:sz w:val="22"/>
          <w:szCs w:val="22"/>
        </w:rPr>
        <w:t xml:space="preserve">характеристик продукции (в том числе с предоставлением образцов продукции в случаях, установленных извещением о закупке).</w:t>
      </w:r>
      <w:r>
        <w:rPr>
          <w:rStyle w:val="787"/>
          <w:rFonts w:ascii="Times New Roman" w:hAnsi="Times New Roman"/>
          <w:sz w:val="22"/>
          <w:szCs w:val="22"/>
        </w:rPr>
      </w:r>
    </w:p>
    <w:p>
      <w:pPr>
        <w:pBdr/>
        <w:spacing w:line="240" w:lineRule="auto"/>
        <w:ind w:firstLine="709"/>
        <w:rPr>
          <w:rStyle w:val="787"/>
          <w:rFonts w:ascii="Times New Roman" w:hAnsi="Times New Roman"/>
          <w:sz w:val="22"/>
          <w:szCs w:val="22"/>
        </w:rPr>
      </w:pPr>
      <w:r>
        <w:rPr>
          <w:rStyle w:val="787"/>
          <w:rFonts w:ascii="Times New Roman" w:hAnsi="Times New Roman"/>
          <w:sz w:val="22"/>
          <w:szCs w:val="22"/>
        </w:rPr>
        <w:t xml:space="preserve">При описании продукции участник обязан подтвердить соответствие поставляемой продукции требованиям извещения о закупке в отношении тех показателей, по которым это установлено.</w:t>
      </w:r>
      <w:r>
        <w:rPr>
          <w:rStyle w:val="787"/>
          <w:rFonts w:ascii="Times New Roman" w:hAnsi="Times New Roman"/>
          <w:sz w:val="22"/>
          <w:szCs w:val="22"/>
        </w:rPr>
      </w:r>
    </w:p>
    <w:p>
      <w:pPr>
        <w:pBdr/>
        <w:spacing w:line="240" w:lineRule="auto"/>
        <w:ind w:firstLine="709"/>
        <w:rPr>
          <w:rStyle w:val="787"/>
          <w:rFonts w:ascii="Times New Roman" w:hAnsi="Times New Roman"/>
          <w:sz w:val="22"/>
          <w:szCs w:val="22"/>
        </w:rPr>
      </w:pPr>
      <w:r>
        <w:rPr>
          <w:rStyle w:val="787"/>
          <w:rFonts w:ascii="Times New Roman" w:hAnsi="Times New Roman"/>
          <w:sz w:val="22"/>
          <w:szCs w:val="22"/>
        </w:rPr>
        <w:t xml:space="preserve">При описании продукц</w:t>
      </w:r>
      <w:r>
        <w:rPr>
          <w:rStyle w:val="787"/>
          <w:rFonts w:ascii="Times New Roman" w:hAnsi="Times New Roman"/>
          <w:sz w:val="22"/>
          <w:szCs w:val="22"/>
        </w:rPr>
        <w:t xml:space="preserve">ии участником должны указываться точные, конкретные, однозначно трактуемые и не допускающие двусмысленного толкования показатели, в том числе общеизвестные (стандартные) показатели, термины и сокращения в соответствии с требованиями документации о закупке.</w:t>
      </w:r>
      <w:r>
        <w:rPr>
          <w:rStyle w:val="787"/>
          <w:rFonts w:ascii="Times New Roman" w:hAnsi="Times New Roman"/>
          <w:sz w:val="22"/>
          <w:szCs w:val="22"/>
        </w:rPr>
      </w:r>
    </w:p>
    <w:p>
      <w:pPr>
        <w:pBdr/>
        <w:spacing w:line="240" w:lineRule="auto"/>
        <w:ind w:firstLine="709"/>
        <w:rPr>
          <w:rStyle w:val="787"/>
          <w:rFonts w:ascii="Times New Roman" w:hAnsi="Times New Roman"/>
          <w:sz w:val="22"/>
          <w:szCs w:val="22"/>
        </w:rPr>
      </w:pPr>
      <w:r/>
      <w:bookmarkStart w:id="4" w:name="_Hlk85120494"/>
      <w:r>
        <w:rPr>
          <w:rStyle w:val="787"/>
          <w:rFonts w:ascii="Times New Roman" w:hAnsi="Times New Roman"/>
          <w:sz w:val="22"/>
          <w:szCs w:val="22"/>
        </w:rPr>
        <w:t xml:space="preserve">Если в извещении о закупке были установлены требования в отношении товарных знаков, знаков обслуживания, патентов, полезных моделей, промышленных образцов, наименования места происхождения товара или </w:t>
      </w:r>
      <w:r>
        <w:rPr>
          <w:rStyle w:val="787"/>
          <w:rFonts w:ascii="Times New Roman" w:hAnsi="Times New Roman"/>
          <w:sz w:val="22"/>
          <w:szCs w:val="22"/>
        </w:rPr>
        <w:t xml:space="preserve">наименования производителя, сопровождаемые словами «или эквивалент», а участником предлагается продукция, являющаяся эквивалентной, участник при описании продукции обязан подтвердить ее эквивалентность по показателям, установленным в документации о закупке</w:t>
      </w:r>
      <w:r>
        <w:rPr>
          <w:rStyle w:val="787"/>
          <w:rFonts w:ascii="Times New Roman" w:hAnsi="Times New Roman"/>
          <w:sz w:val="22"/>
          <w:szCs w:val="22"/>
        </w:rPr>
        <w:t xml:space="preserve">, за  исключением случаев</w:t>
      </w:r>
      <w:r>
        <w:rPr>
          <w:rStyle w:val="787"/>
          <w:rFonts w:ascii="Times New Roman" w:hAnsi="Times New Roman"/>
          <w:sz w:val="22"/>
          <w:szCs w:val="22"/>
        </w:rPr>
        <w:t xml:space="preserve">, определяемых потребностью заказчика в конкретной продукции</w:t>
      </w:r>
      <w:r>
        <w:rPr>
          <w:rStyle w:val="787"/>
          <w:rFonts w:ascii="Times New Roman" w:hAnsi="Times New Roman"/>
          <w:sz w:val="22"/>
          <w:szCs w:val="22"/>
        </w:rPr>
        <w:t xml:space="preserve">, при которых допускается не указывать на приемлемость аналога</w:t>
      </w:r>
      <w:r>
        <w:rPr>
          <w:sz w:val="22"/>
          <w:szCs w:val="22"/>
        </w:rPr>
        <w:t xml:space="preserve"> (закупка продукции </w:t>
      </w:r>
      <w:r>
        <w:rPr>
          <w:rStyle w:val="787"/>
          <w:rFonts w:ascii="Times New Roman" w:hAnsi="Times New Roman"/>
          <w:sz w:val="22"/>
          <w:szCs w:val="22"/>
        </w:rPr>
        <w:t xml:space="preserve">предусмотрена договором с третьим лицом и (или) предусмотрена тарифами на медицинские услуги</w:t>
      </w:r>
      <w:r>
        <w:rPr>
          <w:rStyle w:val="787"/>
          <w:rFonts w:ascii="Times New Roman" w:hAnsi="Times New Roman"/>
          <w:sz w:val="22"/>
          <w:szCs w:val="22"/>
        </w:rPr>
        <w:t xml:space="preserve">, иных случаях</w:t>
      </w:r>
      <w:r>
        <w:rPr>
          <w:rStyle w:val="787"/>
          <w:rFonts w:ascii="Times New Roman" w:hAnsi="Times New Roman"/>
          <w:sz w:val="22"/>
          <w:szCs w:val="22"/>
        </w:rPr>
        <w:t xml:space="preserve">).</w:t>
      </w:r>
      <w:r>
        <w:rPr>
          <w:rStyle w:val="787"/>
          <w:rFonts w:ascii="Times New Roman" w:hAnsi="Times New Roman"/>
          <w:sz w:val="22"/>
          <w:szCs w:val="22"/>
        </w:rPr>
        <w:t xml:space="preserve"> В </w:t>
      </w:r>
      <w:r>
        <w:rPr>
          <w:rStyle w:val="787"/>
          <w:rFonts w:ascii="Times New Roman" w:hAnsi="Times New Roman"/>
          <w:sz w:val="22"/>
          <w:szCs w:val="22"/>
        </w:rPr>
        <w:t xml:space="preserve">таком случае</w:t>
      </w:r>
      <w:r>
        <w:rPr>
          <w:rStyle w:val="787"/>
          <w:rFonts w:ascii="Times New Roman" w:hAnsi="Times New Roman"/>
          <w:sz w:val="22"/>
          <w:szCs w:val="22"/>
        </w:rPr>
        <w:t xml:space="preserve"> конкретные показатели (значения характеристик) товара, предлагаемого к поставке или использованию при выполнении работ, оказании услуг, должны быть указаны в полном соответствии с требованиями, установленными заказчиком в </w:t>
      </w:r>
      <w:r>
        <w:rPr>
          <w:rStyle w:val="787"/>
          <w:rFonts w:ascii="Times New Roman" w:hAnsi="Times New Roman"/>
          <w:sz w:val="22"/>
          <w:szCs w:val="22"/>
        </w:rPr>
        <w:t xml:space="preserve">части 4. «Техническое задание».</w:t>
      </w:r>
      <w:bookmarkEnd w:id="4"/>
      <w:r>
        <w:rPr>
          <w:rStyle w:val="787"/>
          <w:rFonts w:ascii="Times New Roman" w:hAnsi="Times New Roman"/>
          <w:sz w:val="22"/>
          <w:szCs w:val="22"/>
        </w:rPr>
      </w:r>
    </w:p>
    <w:p>
      <w:pPr>
        <w:pBdr/>
        <w:spacing w:line="240" w:lineRule="auto"/>
        <w:ind w:firstLine="709"/>
        <w:rPr>
          <w:rStyle w:val="787"/>
          <w:rFonts w:ascii="Times New Roman" w:hAnsi="Times New Roman"/>
          <w:sz w:val="22"/>
          <w:szCs w:val="22"/>
        </w:rPr>
      </w:pPr>
      <w:r>
        <w:rPr>
          <w:rStyle w:val="787"/>
          <w:rFonts w:ascii="Times New Roman" w:hAnsi="Times New Roman"/>
          <w:sz w:val="22"/>
          <w:szCs w:val="22"/>
        </w:rPr>
        <w:t xml:space="preserve">Заказчик вправе в качестве способа описания продукции потребовать предоставление образца (для закупок в электронной форме – изображений образца) в порядке, установленном в извещении о закупке, при одновременном соблюдении следующих условий:</w:t>
      </w:r>
      <w:r>
        <w:rPr>
          <w:rStyle w:val="787"/>
          <w:rFonts w:ascii="Times New Roman" w:hAnsi="Times New Roman"/>
          <w:sz w:val="22"/>
          <w:szCs w:val="22"/>
        </w:rPr>
      </w:r>
    </w:p>
    <w:p>
      <w:pPr>
        <w:pBdr/>
        <w:spacing w:line="240" w:lineRule="auto"/>
        <w:ind w:firstLine="709"/>
        <w:rPr>
          <w:rStyle w:val="787"/>
          <w:rFonts w:ascii="Times New Roman" w:hAnsi="Times New Roman"/>
          <w:sz w:val="22"/>
          <w:szCs w:val="22"/>
        </w:rPr>
      </w:pPr>
      <w:r>
        <w:rPr>
          <w:rStyle w:val="787"/>
          <w:rFonts w:ascii="Times New Roman" w:hAnsi="Times New Roman"/>
          <w:sz w:val="22"/>
          <w:szCs w:val="22"/>
        </w:rPr>
        <w:t xml:space="preserve">1)</w:t>
      </w:r>
      <w:r>
        <w:rPr>
          <w:rStyle w:val="787"/>
          <w:rFonts w:ascii="Times New Roman" w:hAnsi="Times New Roman"/>
          <w:sz w:val="22"/>
          <w:szCs w:val="22"/>
        </w:rPr>
        <w:tab/>
        <w:t xml:space="preserve">заказчику для предотвращения неприемлемого производственного или иного хозяйственного риска необходимо убедиться в приемлемости продукции и фактическом соответствии ее заявленному участником качеству;</w:t>
      </w:r>
      <w:r>
        <w:rPr>
          <w:rStyle w:val="787"/>
          <w:rFonts w:ascii="Times New Roman" w:hAnsi="Times New Roman"/>
          <w:sz w:val="22"/>
          <w:szCs w:val="22"/>
        </w:rPr>
      </w:r>
    </w:p>
    <w:p>
      <w:pPr>
        <w:pBdr/>
        <w:spacing w:line="240" w:lineRule="auto"/>
        <w:ind w:firstLine="709"/>
        <w:rPr>
          <w:color w:val="000000"/>
          <w:sz w:val="22"/>
          <w:szCs w:val="22"/>
        </w:rPr>
      </w:pPr>
      <w:r>
        <w:rPr>
          <w:rStyle w:val="787"/>
          <w:rFonts w:ascii="Times New Roman" w:hAnsi="Times New Roman"/>
          <w:sz w:val="22"/>
          <w:szCs w:val="22"/>
        </w:rPr>
        <w:t xml:space="preserve">2)</w:t>
      </w:r>
      <w:r>
        <w:rPr>
          <w:rStyle w:val="787"/>
          <w:rFonts w:ascii="Times New Roman" w:hAnsi="Times New Roman"/>
          <w:sz w:val="22"/>
          <w:szCs w:val="22"/>
        </w:rPr>
        <w:tab/>
        <w:t xml:space="preserve">количество продукции для образцов не должно превышать объем, необходимый для контроля качества.</w:t>
      </w:r>
      <w:bookmarkEnd w:id="2"/>
      <w:r>
        <w:rPr>
          <w:color w:val="000000"/>
          <w:sz w:val="22"/>
          <w:szCs w:val="22"/>
        </w:rPr>
      </w:r>
    </w:p>
    <w:p>
      <w:pPr>
        <w:pBdr/>
        <w:spacing w:line="240" w:lineRule="auto"/>
        <w:ind w:firstLine="709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7. Форма, сроки и порядок оплаты:</w:t>
      </w:r>
      <w:r>
        <w:rPr>
          <w:b/>
          <w:sz w:val="22"/>
          <w:szCs w:val="22"/>
        </w:rPr>
      </w:r>
    </w:p>
    <w:p>
      <w:pPr>
        <w:pStyle w:val="786"/>
        <w:pBdr/>
        <w:tabs>
          <w:tab w:val="left" w:leader="none" w:pos="709"/>
        </w:tabs>
        <w:spacing/>
        <w:ind w:firstLine="709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highlight w:val="yellow"/>
        </w:rPr>
        <w:t xml:space="preserve">Оплата товара производится по безналичному расчету, на расч</w:t>
      </w:r>
      <w:r>
        <w:rPr>
          <w:rFonts w:ascii="Times New Roman" w:hAnsi="Times New Roman" w:cs="Times New Roman"/>
          <w:sz w:val="22"/>
          <w:szCs w:val="22"/>
          <w:highlight w:val="yellow"/>
        </w:rPr>
        <w:t xml:space="preserve">етный счет Продавца в течение 7 (семи</w:t>
      </w:r>
      <w:r>
        <w:rPr>
          <w:rFonts w:ascii="Times New Roman" w:hAnsi="Times New Roman" w:cs="Times New Roman"/>
          <w:sz w:val="22"/>
          <w:szCs w:val="22"/>
          <w:highlight w:val="yellow"/>
        </w:rPr>
        <w:t xml:space="preserve">) рабочих дней с д</w:t>
      </w:r>
      <w:r>
        <w:rPr>
          <w:rFonts w:ascii="Times New Roman" w:hAnsi="Times New Roman" w:cs="Times New Roman"/>
          <w:sz w:val="22"/>
          <w:szCs w:val="22"/>
          <w:highlight w:val="yellow"/>
        </w:rPr>
        <w:t xml:space="preserve">аты подписания Заказчиком акта </w:t>
      </w:r>
      <w:r>
        <w:rPr>
          <w:rFonts w:ascii="Times New Roman" w:hAnsi="Times New Roman" w:cs="Times New Roman"/>
          <w:sz w:val="22"/>
          <w:szCs w:val="22"/>
          <w:highlight w:val="yellow"/>
        </w:rPr>
        <w:t xml:space="preserve">сдачи-приемки товара по факту поставки </w:t>
      </w:r>
      <w:r>
        <w:rPr>
          <w:rFonts w:ascii="Times New Roman" w:hAnsi="Times New Roman" w:cs="Times New Roman"/>
          <w:color w:val="000000"/>
          <w:sz w:val="22"/>
          <w:szCs w:val="22"/>
          <w:highlight w:val="yellow"/>
        </w:rPr>
        <w:t xml:space="preserve">всего товара в полном объеме, </w:t>
      </w:r>
      <w:r>
        <w:rPr>
          <w:rFonts w:ascii="Times New Roman" w:hAnsi="Times New Roman" w:cs="Times New Roman"/>
          <w:color w:val="000000"/>
          <w:sz w:val="22"/>
          <w:szCs w:val="22"/>
          <w:highlight w:val="yellow"/>
        </w:rPr>
        <w:t xml:space="preserve">предусмотренным спецификацией (п.1.1.</w:t>
      </w:r>
      <w:r>
        <w:rPr>
          <w:rFonts w:ascii="Times New Roman" w:hAnsi="Times New Roman" w:cs="Times New Roman"/>
          <w:color w:val="000000"/>
          <w:sz w:val="22"/>
          <w:szCs w:val="22"/>
          <w:highlight w:val="yellow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highlight w:val="yellow"/>
        </w:rPr>
        <w:t xml:space="preserve">Договора)</w:t>
      </w:r>
      <w:r>
        <w:rPr>
          <w:rFonts w:ascii="Times New Roman" w:hAnsi="Times New Roman" w:cs="Times New Roman"/>
          <w:sz w:val="22"/>
          <w:szCs w:val="22"/>
          <w:highlight w:val="yellow"/>
        </w:rPr>
        <w:t xml:space="preserve">.</w:t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786"/>
        <w:pBdr/>
        <w:tabs>
          <w:tab w:val="left" w:leader="none" w:pos="709"/>
        </w:tabs>
        <w:spacing/>
        <w:ind w:firstLine="709"/>
        <w:jc w:val="left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8. </w:t>
      </w:r>
      <w:bookmarkStart w:id="5" w:name="_Hlk111081473"/>
      <w:r>
        <w:rPr>
          <w:rFonts w:ascii="Times New Roman" w:hAnsi="Times New Roman" w:cs="Times New Roman"/>
          <w:b/>
          <w:sz w:val="22"/>
          <w:szCs w:val="22"/>
        </w:rPr>
        <w:t xml:space="preserve">Обеспечение исполнения договора</w:t>
      </w:r>
      <w:r>
        <w:rPr>
          <w:rFonts w:ascii="Times New Roman" w:hAnsi="Times New Roman" w:cs="Times New Roman"/>
          <w:b/>
          <w:sz w:val="22"/>
          <w:szCs w:val="22"/>
        </w:rPr>
        <w:t xml:space="preserve">, в т.ч. размер, порядок и срок его предоставления</w:t>
      </w:r>
      <w:bookmarkEnd w:id="5"/>
      <w:r/>
      <w:r>
        <w:rPr>
          <w:rFonts w:ascii="Times New Roman" w:hAnsi="Times New Roman" w:cs="Times New Roman"/>
          <w:b/>
          <w:sz w:val="22"/>
          <w:szCs w:val="22"/>
        </w:rPr>
      </w:r>
    </w:p>
    <w:p>
      <w:pPr>
        <w:pStyle w:val="786"/>
        <w:pBdr/>
        <w:tabs>
          <w:tab w:val="left" w:leader="none" w:pos="709"/>
        </w:tabs>
        <w:spacing/>
        <w:ind w:firstLine="709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8.1. По данному запросу котировок в электронной форме обеспечение исполнения договора: не установлено.</w:t>
      </w:r>
      <w:r>
        <w:rPr>
          <w:rFonts w:ascii="Times New Roman" w:hAnsi="Times New Roman" w:cs="Times New Roman"/>
          <w:sz w:val="22"/>
          <w:szCs w:val="22"/>
        </w:rPr>
      </w:r>
    </w:p>
    <w:p>
      <w:pPr>
        <w:widowControl w:val="false"/>
        <w:pBdr/>
        <w:spacing w:line="240" w:lineRule="auto"/>
        <w:ind w:firstLine="709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9. Критерии оценки и сопоставления заявок</w:t>
      </w:r>
      <w:r>
        <w:rPr>
          <w:b/>
          <w:sz w:val="22"/>
          <w:szCs w:val="22"/>
        </w:rPr>
      </w:r>
    </w:p>
    <w:p>
      <w:pPr>
        <w:widowControl w:val="false"/>
        <w:pBdr/>
        <w:spacing w:line="240" w:lineRule="auto"/>
        <w:ind w:firstLine="709"/>
        <w:rPr>
          <w:b/>
          <w:sz w:val="22"/>
          <w:szCs w:val="22"/>
        </w:rPr>
      </w:pPr>
      <w:r>
        <w:rPr>
          <w:sz w:val="22"/>
          <w:szCs w:val="22"/>
        </w:rPr>
        <w:t xml:space="preserve">9.1.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Дата </w:t>
      </w:r>
      <w:r>
        <w:rPr>
          <w:sz w:val="22"/>
          <w:szCs w:val="22"/>
        </w:rPr>
        <w:t xml:space="preserve">рассмотрения заявок участников запроса котировок</w:t>
      </w:r>
      <w:r>
        <w:rPr>
          <w:sz w:val="22"/>
          <w:szCs w:val="22"/>
        </w:rPr>
        <w:t xml:space="preserve"> в электронной форме и подведение итогов</w:t>
      </w:r>
      <w:r>
        <w:rPr>
          <w:b/>
          <w:sz w:val="22"/>
          <w:szCs w:val="22"/>
        </w:rPr>
        <w:t xml:space="preserve">: </w:t>
      </w:r>
      <w:r>
        <w:rPr>
          <w:b/>
          <w:sz w:val="22"/>
          <w:szCs w:val="22"/>
          <w:highlight w:val="none"/>
        </w:rPr>
        <w:t xml:space="preserve">13</w:t>
      </w:r>
      <w:r>
        <w:rPr>
          <w:b/>
          <w:sz w:val="22"/>
          <w:szCs w:val="22"/>
          <w:highlight w:val="yellow"/>
        </w:rPr>
      </w:r>
      <w:r>
        <w:rPr>
          <w:b/>
          <w:sz w:val="22"/>
          <w:szCs w:val="22"/>
          <w:highlight w:val="yellow"/>
        </w:rPr>
        <w:t xml:space="preserve"> </w:t>
      </w:r>
      <w:r>
        <w:rPr>
          <w:b/>
          <w:sz w:val="22"/>
          <w:szCs w:val="22"/>
          <w:highlight w:val="yellow"/>
        </w:rPr>
        <w:t xml:space="preserve">мая</w:t>
      </w:r>
      <w:r>
        <w:rPr>
          <w:b/>
          <w:sz w:val="22"/>
          <w:szCs w:val="22"/>
          <w:highlight w:val="yellow"/>
        </w:rPr>
        <w:t xml:space="preserve"> </w:t>
      </w:r>
      <w:r>
        <w:rPr>
          <w:b/>
          <w:color w:val="000000"/>
          <w:sz w:val="22"/>
          <w:szCs w:val="22"/>
          <w:highlight w:val="yellow"/>
        </w:rPr>
        <w:t xml:space="preserve">2026</w:t>
      </w:r>
      <w:r>
        <w:rPr>
          <w:b/>
          <w:color w:val="000000"/>
          <w:sz w:val="22"/>
          <w:szCs w:val="22"/>
          <w:highlight w:val="yellow"/>
        </w:rPr>
        <w:t xml:space="preserve"> года в 09</w:t>
      </w:r>
      <w:r>
        <w:rPr>
          <w:b/>
          <w:color w:val="000000"/>
          <w:sz w:val="22"/>
          <w:szCs w:val="22"/>
          <w:highlight w:val="yellow"/>
        </w:rPr>
        <w:t xml:space="preserve"> час. 3</w:t>
      </w:r>
      <w:r>
        <w:rPr>
          <w:b/>
          <w:color w:val="000000"/>
          <w:sz w:val="22"/>
          <w:szCs w:val="22"/>
          <w:highlight w:val="yellow"/>
        </w:rPr>
        <w:t xml:space="preserve">0 минут</w:t>
      </w:r>
      <w:r>
        <w:rPr>
          <w:b/>
          <w:sz w:val="22"/>
          <w:szCs w:val="22"/>
          <w:highlight w:val="yellow"/>
        </w:rPr>
        <w:t xml:space="preserve"> (время </w:t>
      </w:r>
      <w:r>
        <w:rPr>
          <w:b/>
          <w:bCs/>
          <w:color w:val="000000"/>
          <w:sz w:val="22"/>
          <w:szCs w:val="22"/>
          <w:highlight w:val="yellow"/>
        </w:rPr>
        <w:t xml:space="preserve">московское</w:t>
      </w:r>
      <w:r>
        <w:rPr>
          <w:b/>
          <w:bCs/>
          <w:color w:val="000000"/>
          <w:sz w:val="22"/>
          <w:szCs w:val="22"/>
          <w:highlight w:val="yellow"/>
        </w:rPr>
        <w:t xml:space="preserve">)</w:t>
      </w:r>
      <w:r>
        <w:rPr>
          <w:b/>
          <w:color w:val="000000"/>
          <w:sz w:val="22"/>
          <w:szCs w:val="22"/>
          <w:highlight w:val="yellow"/>
          <w:lang w:eastAsia="en-US"/>
        </w:rPr>
        <w:t xml:space="preserve">.</w:t>
      </w:r>
      <w:r>
        <w:rPr>
          <w:b/>
          <w:sz w:val="22"/>
          <w:szCs w:val="22"/>
        </w:rPr>
      </w:r>
    </w:p>
    <w:p>
      <w:pPr>
        <w:widowControl w:val="false"/>
        <w:pBdr/>
        <w:spacing w:line="240" w:lineRule="auto"/>
        <w:ind w:firstLine="709"/>
        <w:rPr>
          <w:sz w:val="22"/>
          <w:szCs w:val="22"/>
        </w:rPr>
      </w:pPr>
      <w:r>
        <w:rPr>
          <w:b/>
          <w:sz w:val="22"/>
          <w:szCs w:val="22"/>
        </w:rPr>
        <w:t xml:space="preserve">9.2. Порядок оценки и сопоставление заявок на участие: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Ком</w:t>
      </w:r>
      <w:r>
        <w:rPr>
          <w:sz w:val="22"/>
          <w:szCs w:val="22"/>
        </w:rPr>
        <w:t xml:space="preserve">иссия в течение одного рабочего дня, следующего за днем окончания срока подачи котировочных заявок, рассматривает котировочные заявки на соответствие их требованиям, установленным в извещении о проведении запроса котировок, и оценивает котировочные заявки.</w:t>
      </w:r>
      <w:r>
        <w:t xml:space="preserve"> </w:t>
      </w:r>
      <w:r>
        <w:rPr>
          <w:sz w:val="22"/>
          <w:szCs w:val="22"/>
        </w:rPr>
        <w:t xml:space="preserve">Результаты рассмотрения котировочных заявок оформляются протоколом рассмотрения и оценки заявок (итоговый протокол)</w:t>
      </w:r>
      <w:r>
        <w:rPr>
          <w:sz w:val="22"/>
          <w:szCs w:val="22"/>
        </w:rPr>
        <w:t xml:space="preserve">, в котором, как минимум, содержатся сведения, предусмотренные</w:t>
      </w:r>
      <w:r>
        <w:rPr>
          <w:sz w:val="22"/>
          <w:szCs w:val="22"/>
        </w:rPr>
        <w:t xml:space="preserve"> частью 14 статьи 3.2 Закона № 223-ФЗ.</w:t>
      </w:r>
      <w:r>
        <w:rPr>
          <w:sz w:val="22"/>
          <w:szCs w:val="22"/>
        </w:rPr>
      </w:r>
    </w:p>
    <w:p>
      <w:pPr>
        <w:widowControl w:val="false"/>
        <w:pBdr/>
        <w:spacing w:line="240" w:lineRule="auto"/>
        <w:ind w:firstLine="709"/>
        <w:rPr>
          <w:sz w:val="22"/>
          <w:szCs w:val="22"/>
        </w:rPr>
      </w:pPr>
      <w:r>
        <w:rPr>
          <w:sz w:val="22"/>
          <w:szCs w:val="22"/>
        </w:rPr>
        <w:t xml:space="preserve">По итогу рассмот</w:t>
      </w:r>
      <w:r>
        <w:rPr>
          <w:sz w:val="22"/>
          <w:szCs w:val="22"/>
        </w:rPr>
        <w:t xml:space="preserve">рения и оценки заявок на участие в запросе котировок в электронной форме, победителем признается участник закупки, заявка которого соответствует требованиям, установленным извещением о проведении запроса котировок, и содержит наиболее низкую цену договора.</w:t>
      </w:r>
      <w:r>
        <w:rPr>
          <w:sz w:val="22"/>
          <w:szCs w:val="22"/>
        </w:rPr>
      </w:r>
    </w:p>
    <w:p>
      <w:pPr>
        <w:widowControl w:val="false"/>
        <w:pBdr/>
        <w:spacing w:line="240" w:lineRule="auto"/>
        <w:ind w:firstLine="709"/>
        <w:rPr>
          <w:sz w:val="22"/>
          <w:szCs w:val="22"/>
        </w:rPr>
      </w:pPr>
      <w:r>
        <w:rPr>
          <w:sz w:val="22"/>
          <w:szCs w:val="22"/>
        </w:rPr>
        <w:t xml:space="preserve">При предложении наибол</w:t>
      </w:r>
      <w:r>
        <w:rPr>
          <w:sz w:val="22"/>
          <w:szCs w:val="22"/>
        </w:rPr>
        <w:t xml:space="preserve">ее низкой цены товаров, работ, услуг несколькими участниками размещения заказа победителем в проведении запроса котировок в электронной форме признается участник размещения заказа, заявка которого поступила ранее заявок других участников размещения заказа.</w:t>
      </w:r>
      <w:r>
        <w:rPr>
          <w:sz w:val="22"/>
          <w:szCs w:val="22"/>
        </w:rPr>
      </w:r>
    </w:p>
    <w:p>
      <w:pPr>
        <w:pBdr/>
        <w:spacing w:line="240" w:lineRule="auto"/>
        <w:ind w:firstLine="709"/>
        <w:rPr>
          <w:sz w:val="22"/>
          <w:szCs w:val="22"/>
        </w:rPr>
      </w:pPr>
      <w:r>
        <w:rPr>
          <w:b/>
          <w:sz w:val="22"/>
          <w:szCs w:val="22"/>
        </w:rPr>
        <w:t xml:space="preserve">10.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  <w:highlight w:val="yellow"/>
        </w:rPr>
        <w:t xml:space="preserve">Сроки и место поставки</w:t>
      </w:r>
      <w:r>
        <w:rPr>
          <w:b/>
          <w:sz w:val="22"/>
          <w:szCs w:val="22"/>
        </w:rPr>
        <w:t xml:space="preserve">:</w:t>
      </w:r>
      <w:r>
        <w:rPr>
          <w:b/>
          <w:sz w:val="20"/>
        </w:rPr>
        <w:t xml:space="preserve"> </w:t>
      </w:r>
      <w:r>
        <w:rPr>
          <w:sz w:val="22"/>
          <w:szCs w:val="22"/>
        </w:rPr>
        <w:t xml:space="preserve">Поставка товара по адресу Заказчика (СК, город Георгиевск, ул. Лермонтова, 59) осуществляется силами и средствами Поставщика в течени</w:t>
      </w:r>
      <w:r>
        <w:rPr>
          <w:sz w:val="22"/>
          <w:szCs w:val="22"/>
        </w:rPr>
        <w:t xml:space="preserve">и</w:t>
      </w:r>
      <w:r>
        <w:rPr>
          <w:sz w:val="22"/>
          <w:szCs w:val="22"/>
        </w:rPr>
        <w:t xml:space="preserve"> 15 календарных дней с момента подписания договора.</w:t>
      </w:r>
      <w:r>
        <w:rPr>
          <w:sz w:val="22"/>
          <w:szCs w:val="22"/>
        </w:rPr>
      </w:r>
    </w:p>
    <w:p>
      <w:pPr>
        <w:pBdr/>
        <w:spacing w:line="240" w:lineRule="auto"/>
        <w:ind w:firstLine="709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11. Информация о начальной (максимальной) цене договора:</w:t>
      </w:r>
      <w:r>
        <w:rPr>
          <w:b/>
          <w:sz w:val="22"/>
          <w:szCs w:val="22"/>
        </w:rPr>
      </w:r>
    </w:p>
    <w:p>
      <w:pPr>
        <w:pBdr/>
        <w:spacing w:line="240" w:lineRule="auto"/>
        <w:ind w:firstLine="709"/>
        <w:rPr>
          <w:b/>
          <w:color w:val="ff0000"/>
          <w:sz w:val="22"/>
          <w:szCs w:val="22"/>
        </w:rPr>
      </w:pPr>
      <w:r>
        <w:rPr>
          <w:b/>
          <w:sz w:val="22"/>
          <w:szCs w:val="22"/>
        </w:rPr>
        <w:t xml:space="preserve">11.1. Размер начальной (максимальной) цены договора составляет:</w:t>
      </w:r>
      <w:r>
        <w:rPr>
          <w:sz w:val="22"/>
          <w:szCs w:val="22"/>
        </w:rPr>
        <w:t xml:space="preserve"> </w:t>
      </w:r>
      <w:r>
        <w:rPr>
          <w:rFonts w:eastAsia="Calibri"/>
          <w:sz w:val="22"/>
          <w:szCs w:val="22"/>
          <w:highlight w:val="none"/>
        </w:rPr>
        <w:t xml:space="preserve">457 331</w:t>
      </w:r>
      <w:r>
        <w:rPr>
          <w:sz w:val="22"/>
          <w:szCs w:val="22"/>
          <w:highlight w:val="yellow"/>
        </w:rPr>
        <w:t xml:space="preserve"> руб. (Четыреста пятьдесят семь тысяч триста тридцать один </w:t>
      </w:r>
      <w:r>
        <w:rPr>
          <w:sz w:val="22"/>
          <w:szCs w:val="22"/>
          <w:highlight w:val="yellow"/>
        </w:rPr>
        <w:t xml:space="preserve">  руб. 00 коп.), </w:t>
      </w:r>
      <w:r>
        <w:rPr>
          <w:rFonts w:eastAsia="Andale Sans UI"/>
          <w:bCs/>
          <w:sz w:val="22"/>
          <w:szCs w:val="22"/>
          <w:highlight w:val="yellow"/>
        </w:rPr>
        <w:t xml:space="preserve">вк</w:t>
      </w:r>
      <w:r>
        <w:rPr>
          <w:rFonts w:eastAsia="Andale Sans UI"/>
          <w:bCs/>
          <w:color w:val="000000" w:themeColor="text1"/>
          <w:sz w:val="22"/>
          <w:szCs w:val="22"/>
          <w:highlight w:val="yellow"/>
        </w:rPr>
        <w:t xml:space="preserve">лючая НДС.</w:t>
      </w:r>
      <w:r>
        <w:rPr>
          <w:b/>
          <w:color w:val="ff0000"/>
          <w:sz w:val="22"/>
          <w:szCs w:val="22"/>
        </w:rPr>
      </w:r>
    </w:p>
    <w:p>
      <w:pPr>
        <w:pStyle w:val="724"/>
        <w:pBdr/>
        <w:spacing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11.2. </w:t>
      </w:r>
      <w:r>
        <w:rPr>
          <w:rFonts w:ascii="Times New Roman" w:hAnsi="Times New Roman"/>
          <w:bCs/>
          <w:color w:val="000000"/>
        </w:rPr>
        <w:t xml:space="preserve">Цена поставляемого товара должна включать, </w:t>
      </w:r>
      <w:r>
        <w:rPr>
          <w:rFonts w:ascii="Times New Roman" w:hAnsi="Times New Roman"/>
        </w:rPr>
        <w:t xml:space="preserve">затраты на доставку в ГАУЗ СК «Георгиевская стоматологическая поликлиника» по адресу Ставропольский край, г. Георгиевск, ул. Лермонтова, 59, выгрузку на первый этаж (</w:t>
      </w:r>
      <w:r>
        <w:rPr>
          <w:rFonts w:ascii="Times New Roman" w:hAnsi="Times New Roman"/>
        </w:rPr>
        <w:t xml:space="preserve">каб</w:t>
      </w:r>
      <w:r>
        <w:rPr>
          <w:rFonts w:ascii="Times New Roman" w:hAnsi="Times New Roman"/>
        </w:rPr>
        <w:t xml:space="preserve">. №24), страхование, уплату налогов, </w:t>
      </w:r>
      <w:r>
        <w:rPr>
          <w:rFonts w:ascii="Times New Roman" w:hAnsi="Times New Roman"/>
          <w:bCs/>
          <w:color w:val="000000"/>
        </w:rPr>
        <w:t xml:space="preserve">таможенных пошлин</w:t>
      </w:r>
      <w:r>
        <w:rPr>
          <w:rFonts w:ascii="Times New Roman" w:hAnsi="Times New Roman"/>
        </w:rPr>
        <w:t xml:space="preserve">, сборов и других обязательных п</w:t>
      </w:r>
      <w:r>
        <w:rPr>
          <w:rFonts w:ascii="Times New Roman" w:hAnsi="Times New Roman"/>
        </w:rPr>
        <w:t xml:space="preserve">латежей</w:t>
      </w:r>
      <w:r>
        <w:rPr>
          <w:rFonts w:ascii="Times New Roman" w:hAnsi="Times New Roman"/>
        </w:rPr>
        <w:t xml:space="preserve">, в том числе расходы Продавца</w:t>
      </w:r>
      <w:r>
        <w:rPr>
          <w:rFonts w:ascii="Times New Roman" w:hAnsi="Times New Roman"/>
        </w:rPr>
        <w:t xml:space="preserve"> прямо не предусмотренные, но которые могут возникнуть в ходе исполнения договора.</w:t>
      </w:r>
      <w:r>
        <w:rPr>
          <w:rFonts w:ascii="Times New Roman" w:hAnsi="Times New Roman"/>
        </w:rPr>
      </w:r>
    </w:p>
    <w:p>
      <w:pPr>
        <w:pBdr/>
        <w:tabs>
          <w:tab w:val="left" w:leader="none" w:pos="284"/>
        </w:tabs>
        <w:spacing w:line="240" w:lineRule="auto"/>
        <w:ind w:firstLine="709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12. Разъяснение положений извещения о проведении запроса котировок в электронной форме и внесение в него изменений.</w:t>
      </w:r>
      <w:r>
        <w:rPr>
          <w:b/>
          <w:sz w:val="22"/>
          <w:szCs w:val="22"/>
        </w:rPr>
      </w:r>
    </w:p>
    <w:p>
      <w:pPr>
        <w:pBdr/>
        <w:spacing w:line="240" w:lineRule="auto"/>
        <w:ind w:firstLine="709"/>
        <w:rPr>
          <w:color w:val="000000"/>
          <w:sz w:val="22"/>
          <w:szCs w:val="22"/>
        </w:rPr>
      </w:pPr>
      <w:r>
        <w:rPr>
          <w:rStyle w:val="787"/>
          <w:rFonts w:ascii="Times New Roman" w:hAnsi="Times New Roman"/>
          <w:sz w:val="22"/>
          <w:szCs w:val="22"/>
        </w:rPr>
        <w:t xml:space="preserve">12.1. В любое время до истечения срока представления котировочных заявок заказчик вправе по</w:t>
      </w:r>
      <w:r>
        <w:rPr>
          <w:color w:val="000000"/>
          <w:sz w:val="22"/>
          <w:szCs w:val="22"/>
        </w:rPr>
        <w:t xml:space="preserve"> </w:t>
      </w:r>
      <w:r>
        <w:rPr>
          <w:rStyle w:val="787"/>
          <w:rFonts w:ascii="Times New Roman" w:hAnsi="Times New Roman"/>
          <w:sz w:val="22"/>
          <w:szCs w:val="22"/>
        </w:rPr>
        <w:t xml:space="preserve">собственной инициативе либо в ответ на запрос какого-либо участника закупки внести изменения в извещение о проведении запроса котировок.</w:t>
      </w:r>
      <w:r>
        <w:rPr>
          <w:rStyle w:val="787"/>
          <w:rFonts w:ascii="Times New Roman" w:hAnsi="Times New Roman"/>
          <w:sz w:val="22"/>
          <w:szCs w:val="22"/>
        </w:rPr>
        <w:tab/>
      </w:r>
      <w:r>
        <w:rPr>
          <w:color w:val="000000"/>
          <w:sz w:val="22"/>
          <w:szCs w:val="22"/>
        </w:rPr>
      </w:r>
    </w:p>
    <w:p>
      <w:pPr>
        <w:pBdr/>
        <w:spacing w:line="240" w:lineRule="auto"/>
        <w:ind w:firstLine="709"/>
        <w:rPr>
          <w:rStyle w:val="787"/>
          <w:rFonts w:ascii="Times New Roman" w:hAnsi="Times New Roman"/>
          <w:sz w:val="22"/>
          <w:szCs w:val="22"/>
        </w:rPr>
      </w:pPr>
      <w:r>
        <w:rPr>
          <w:rStyle w:val="787"/>
          <w:rFonts w:ascii="Times New Roman" w:hAnsi="Times New Roman"/>
          <w:sz w:val="22"/>
          <w:szCs w:val="22"/>
        </w:rPr>
        <w:t xml:space="preserve">12.2. В течение 3 дней со дня принятия решения о необходимости изменения извещения о проведении запроса котировок такие изменения размещаются заказчиком в единой информационной системе</w:t>
      </w:r>
      <w:r>
        <w:t xml:space="preserve"> </w:t>
      </w:r>
      <w:bookmarkStart w:id="6" w:name="_Hlk111081377"/>
      <w:r>
        <w:rPr>
          <w:rStyle w:val="787"/>
          <w:rFonts w:ascii="Times New Roman" w:hAnsi="Times New Roman"/>
          <w:sz w:val="22"/>
          <w:szCs w:val="22"/>
        </w:rPr>
        <w:t xml:space="preserve">и на официальном сайте, за исключением случаев, предусмотренных Федеральным законом №223-ФЗ.</w:t>
      </w:r>
      <w:bookmarkEnd w:id="6"/>
      <w:r/>
      <w:r>
        <w:rPr>
          <w:rStyle w:val="787"/>
          <w:rFonts w:ascii="Times New Roman" w:hAnsi="Times New Roman"/>
          <w:sz w:val="22"/>
          <w:szCs w:val="22"/>
        </w:rPr>
      </w:r>
    </w:p>
    <w:p>
      <w:pPr>
        <w:pBdr/>
        <w:spacing w:line="240" w:lineRule="auto"/>
        <w:ind w:firstLine="709"/>
        <w:rPr>
          <w:rStyle w:val="787"/>
          <w:rFonts w:ascii="Times New Roman" w:hAnsi="Times New Roman"/>
          <w:sz w:val="22"/>
          <w:szCs w:val="22"/>
        </w:rPr>
      </w:pPr>
      <w:r>
        <w:rPr>
          <w:rStyle w:val="787"/>
          <w:rFonts w:ascii="Times New Roman" w:hAnsi="Times New Roman"/>
          <w:sz w:val="22"/>
          <w:szCs w:val="22"/>
        </w:rPr>
        <w:t xml:space="preserve">12.3. </w:t>
      </w:r>
      <w:r>
        <w:rPr>
          <w:rStyle w:val="787"/>
          <w:rFonts w:ascii="Times New Roman" w:hAnsi="Times New Roman"/>
          <w:sz w:val="22"/>
          <w:szCs w:val="22"/>
        </w:rPr>
        <w:t xml:space="preserve">В случае если изменения в извещение о п</w:t>
      </w:r>
      <w:r>
        <w:rPr>
          <w:rStyle w:val="787"/>
          <w:rFonts w:ascii="Times New Roman" w:hAnsi="Times New Roman"/>
          <w:sz w:val="22"/>
          <w:szCs w:val="22"/>
        </w:rPr>
        <w:t xml:space="preserve">роведении запроса котировок внесены позднее, чем за 2 рабочих дня до даты окончания подачи котировочных заявок, срок подачи котировочных заявок должен быть продлен так, чтобы со дня размещения в единой информационной системе внесенных в извещение о закупке</w:t>
      </w:r>
      <w:r>
        <w:rPr>
          <w:color w:val="000000"/>
          <w:sz w:val="22"/>
          <w:szCs w:val="22"/>
        </w:rPr>
        <w:br/>
      </w:r>
      <w:r>
        <w:rPr>
          <w:rStyle w:val="787"/>
          <w:rFonts w:ascii="Times New Roman" w:hAnsi="Times New Roman"/>
          <w:sz w:val="22"/>
          <w:szCs w:val="22"/>
        </w:rPr>
        <w:t xml:space="preserve">изменений до даты окончания подачи котировочных заявок такой срок составлял не менее чем 3 рабочих дня. </w:t>
      </w:r>
      <w:r>
        <w:rPr>
          <w:rStyle w:val="787"/>
          <w:rFonts w:ascii="Times New Roman" w:hAnsi="Times New Roman"/>
          <w:sz w:val="22"/>
          <w:szCs w:val="22"/>
        </w:rPr>
      </w:r>
    </w:p>
    <w:p>
      <w:pPr>
        <w:pBdr/>
        <w:spacing w:line="240" w:lineRule="auto"/>
        <w:ind w:firstLine="709"/>
        <w:rPr>
          <w:rStyle w:val="787"/>
          <w:rFonts w:ascii="Times New Roman" w:hAnsi="Times New Roman"/>
          <w:sz w:val="22"/>
          <w:szCs w:val="22"/>
        </w:rPr>
      </w:pPr>
      <w:r>
        <w:rPr>
          <w:rStyle w:val="787"/>
          <w:rFonts w:ascii="Times New Roman" w:hAnsi="Times New Roman"/>
          <w:sz w:val="22"/>
          <w:szCs w:val="22"/>
        </w:rPr>
        <w:t xml:space="preserve">12.4. Участники размещения заказа обязаны самостоятельно отслеживать официально размещенные разъяснения и изменения извещения о закупке, а также информацию о принятых в ходе проведения закупки решениях Заказчика. </w:t>
      </w:r>
      <w:r>
        <w:rPr>
          <w:rStyle w:val="787"/>
          <w:rFonts w:ascii="Times New Roman" w:hAnsi="Times New Roman"/>
          <w:sz w:val="22"/>
          <w:szCs w:val="22"/>
        </w:rPr>
      </w:r>
    </w:p>
    <w:p>
      <w:pPr>
        <w:pBdr/>
        <w:spacing w:line="240" w:lineRule="auto"/>
        <w:ind w:firstLine="709"/>
        <w:rPr>
          <w:rStyle w:val="787"/>
          <w:rFonts w:ascii="Times New Roman" w:hAnsi="Times New Roman"/>
          <w:sz w:val="22"/>
          <w:szCs w:val="22"/>
        </w:rPr>
      </w:pPr>
      <w:r>
        <w:rPr>
          <w:rStyle w:val="787"/>
          <w:rFonts w:ascii="Times New Roman" w:hAnsi="Times New Roman"/>
          <w:sz w:val="22"/>
          <w:szCs w:val="22"/>
        </w:rPr>
        <w:t xml:space="preserve">Заказчик не несет ответственности, если участник закупки не ознакомился с включенными в извещение о закупке изменениями, которые размещены надлежащим образом.</w:t>
      </w:r>
      <w:r>
        <w:rPr>
          <w:rStyle w:val="787"/>
          <w:rFonts w:ascii="Times New Roman" w:hAnsi="Times New Roman"/>
          <w:sz w:val="22"/>
          <w:szCs w:val="22"/>
        </w:rPr>
      </w:r>
    </w:p>
    <w:p>
      <w:pPr>
        <w:pBdr/>
        <w:spacing w:line="240" w:lineRule="auto"/>
        <w:ind w:firstLine="709"/>
        <w:rPr>
          <w:sz w:val="22"/>
          <w:szCs w:val="22"/>
        </w:rPr>
      </w:pPr>
      <w:r>
        <w:rPr>
          <w:rStyle w:val="787"/>
          <w:rFonts w:ascii="Times New Roman" w:hAnsi="Times New Roman"/>
          <w:sz w:val="22"/>
          <w:szCs w:val="22"/>
        </w:rPr>
        <w:t xml:space="preserve">12.</w:t>
      </w:r>
      <w:r>
        <w:rPr>
          <w:rStyle w:val="787"/>
          <w:rFonts w:ascii="Times New Roman" w:hAnsi="Times New Roman"/>
          <w:sz w:val="22"/>
          <w:szCs w:val="22"/>
        </w:rPr>
        <w:t xml:space="preserve">5</w:t>
      </w:r>
      <w:r>
        <w:rPr>
          <w:rStyle w:val="787"/>
          <w:rFonts w:ascii="Times New Roman" w:hAnsi="Times New Roman"/>
          <w:sz w:val="22"/>
          <w:szCs w:val="22"/>
        </w:rPr>
        <w:t xml:space="preserve">. Любой участник закупки вправе направить заказчику запрос разъяснений положений, содержащихся в извещении о проведении запроса котировок форме электронного документа в срок не позднее, чем за 3 рабочих</w:t>
      </w:r>
      <w:r>
        <w:rPr>
          <w:color w:val="000000"/>
          <w:sz w:val="22"/>
          <w:szCs w:val="22"/>
        </w:rPr>
        <w:t xml:space="preserve"> </w:t>
      </w:r>
      <w:r>
        <w:rPr>
          <w:rStyle w:val="787"/>
          <w:rFonts w:ascii="Times New Roman" w:hAnsi="Times New Roman"/>
          <w:sz w:val="22"/>
          <w:szCs w:val="22"/>
        </w:rPr>
        <w:t xml:space="preserve">дня до дня окончания подачи заявок. </w:t>
      </w:r>
      <w:r>
        <w:rPr>
          <w:rStyle w:val="787"/>
          <w:rFonts w:ascii="Times New Roman" w:hAnsi="Times New Roman"/>
          <w:sz w:val="22"/>
          <w:szCs w:val="22"/>
        </w:rPr>
        <w:t xml:space="preserve">Заказчик в тече</w:t>
      </w:r>
      <w:r>
        <w:rPr>
          <w:rStyle w:val="787"/>
          <w:rFonts w:ascii="Times New Roman" w:hAnsi="Times New Roman"/>
          <w:sz w:val="22"/>
          <w:szCs w:val="22"/>
        </w:rPr>
        <w:t xml:space="preserve">ние 3 рабочих дней со дня поступления запроса на разъяснение положений направляет разъяснения участнику закупки, направившему запрос, а также размещает копию таких разъяснений (без указания наименования или адреса участника закупки, от которого был получен</w:t>
      </w:r>
      <w:r>
        <w:rPr>
          <w:color w:val="000000"/>
          <w:sz w:val="22"/>
          <w:szCs w:val="22"/>
        </w:rPr>
        <w:t xml:space="preserve"> </w:t>
      </w:r>
      <w:r>
        <w:rPr>
          <w:rStyle w:val="787"/>
          <w:rFonts w:ascii="Times New Roman" w:hAnsi="Times New Roman"/>
          <w:sz w:val="22"/>
          <w:szCs w:val="22"/>
        </w:rPr>
        <w:t xml:space="preserve">запрос на разъяснения) в единой информационной системе</w:t>
      </w:r>
      <w:r>
        <w:rPr>
          <w:rStyle w:val="787"/>
          <w:rFonts w:ascii="Times New Roman" w:hAnsi="Times New Roman"/>
          <w:sz w:val="22"/>
          <w:szCs w:val="22"/>
        </w:rPr>
        <w:t xml:space="preserve"> и на официальном сайте, за исключением случаев, предусмотренных Федеральным законом №223-ФЗ.</w:t>
      </w:r>
      <w:r>
        <w:rPr>
          <w:sz w:val="22"/>
          <w:szCs w:val="22"/>
        </w:rPr>
      </w:r>
    </w:p>
    <w:p>
      <w:pPr>
        <w:widowControl w:val="false"/>
        <w:pBdr/>
        <w:spacing w:line="240" w:lineRule="auto"/>
        <w:ind w:firstLine="709"/>
        <w:rPr>
          <w:b/>
          <w:bCs/>
          <w:sz w:val="22"/>
          <w:szCs w:val="22"/>
        </w:rPr>
      </w:pPr>
      <w:r/>
      <w:bookmarkStart w:id="7" w:name="sub_126"/>
      <w:r>
        <w:rPr>
          <w:b/>
          <w:bCs/>
          <w:sz w:val="22"/>
          <w:szCs w:val="22"/>
        </w:rPr>
        <w:t xml:space="preserve">13.  Порядок приема котировочных заявок</w:t>
      </w:r>
      <w:r>
        <w:rPr>
          <w:b/>
          <w:bCs/>
          <w:sz w:val="22"/>
          <w:szCs w:val="22"/>
        </w:rPr>
      </w:r>
    </w:p>
    <w:p>
      <w:pPr>
        <w:pBdr/>
        <w:spacing w:line="240" w:lineRule="auto"/>
        <w:ind w:firstLine="709"/>
        <w:rPr>
          <w:rStyle w:val="787"/>
          <w:rFonts w:ascii="Times New Roman" w:hAnsi="Times New Roman"/>
          <w:sz w:val="22"/>
          <w:szCs w:val="22"/>
        </w:rPr>
      </w:pPr>
      <w:r>
        <w:rPr>
          <w:rStyle w:val="787"/>
          <w:rFonts w:ascii="Times New Roman" w:hAnsi="Times New Roman"/>
          <w:sz w:val="22"/>
          <w:szCs w:val="22"/>
        </w:rPr>
        <w:t xml:space="preserve">13.1. </w:t>
      </w:r>
      <w:r>
        <w:rPr>
          <w:rStyle w:val="787"/>
          <w:rFonts w:ascii="Times New Roman" w:hAnsi="Times New Roman"/>
          <w:sz w:val="22"/>
          <w:szCs w:val="22"/>
        </w:rPr>
        <w:t xml:space="preserve">Лицо, желающее принять участие в запросе котировок, несет все расходы, связанные с участием в таковом, в том числе с получением аккредитации на ЭТП, подготовкой и предоставлением заявки, иной док</w:t>
      </w:r>
      <w:r>
        <w:rPr>
          <w:rStyle w:val="787"/>
          <w:rFonts w:ascii="Times New Roman" w:hAnsi="Times New Roman"/>
          <w:sz w:val="22"/>
          <w:szCs w:val="22"/>
        </w:rPr>
        <w:t xml:space="preserve">ументации, а заказчик не имеет обязательств по этим расходам независимо от итогов процедуры закупки, а также оснований его завершения. До подачи заявки участник обязан ознакомиться с регламентом и инструкциями, опубликованными на сайте соответствующей ЭТП.</w:t>
      </w:r>
      <w:r>
        <w:rPr>
          <w:rStyle w:val="787"/>
          <w:rFonts w:ascii="Times New Roman" w:hAnsi="Times New Roman"/>
          <w:sz w:val="22"/>
          <w:szCs w:val="22"/>
        </w:rPr>
      </w:r>
    </w:p>
    <w:p>
      <w:pPr>
        <w:pBdr/>
        <w:spacing w:line="240" w:lineRule="auto"/>
        <w:ind w:firstLine="709"/>
        <w:rPr>
          <w:rStyle w:val="787"/>
          <w:rFonts w:ascii="Times New Roman" w:hAnsi="Times New Roman"/>
          <w:sz w:val="22"/>
          <w:szCs w:val="22"/>
        </w:rPr>
      </w:pPr>
      <w:r>
        <w:rPr>
          <w:rStyle w:val="787"/>
          <w:rFonts w:ascii="Times New Roman" w:hAnsi="Times New Roman"/>
          <w:sz w:val="22"/>
          <w:szCs w:val="22"/>
        </w:rPr>
        <w:t xml:space="preserve">Для участия в запросе котировок в электронной форме участник закупки, получивший аккредитацию на ЭТП, подает заявку на участие в соответствии </w:t>
      </w:r>
      <w:r>
        <w:rPr>
          <w:rStyle w:val="787"/>
          <w:rFonts w:ascii="Times New Roman" w:hAnsi="Times New Roman"/>
          <w:sz w:val="22"/>
          <w:szCs w:val="22"/>
        </w:rPr>
        <w:t xml:space="preserve">с регламентом электронной площадки, на которой проводится закупка.</w:t>
      </w:r>
      <w:r>
        <w:rPr>
          <w:rStyle w:val="787"/>
          <w:rFonts w:ascii="Times New Roman" w:hAnsi="Times New Roman"/>
          <w:sz w:val="22"/>
          <w:szCs w:val="22"/>
        </w:rPr>
      </w:r>
    </w:p>
    <w:p>
      <w:pPr>
        <w:pBdr/>
        <w:spacing w:line="240" w:lineRule="auto"/>
        <w:ind w:firstLine="709"/>
        <w:rPr>
          <w:rStyle w:val="787"/>
          <w:rFonts w:ascii="Times New Roman" w:hAnsi="Times New Roman"/>
          <w:sz w:val="22"/>
          <w:szCs w:val="22"/>
        </w:rPr>
      </w:pPr>
      <w:r>
        <w:rPr>
          <w:rStyle w:val="787"/>
          <w:rFonts w:ascii="Times New Roman" w:hAnsi="Times New Roman"/>
          <w:sz w:val="22"/>
          <w:szCs w:val="22"/>
        </w:rPr>
        <w:t xml:space="preserve">Участие в запросе котировок в электронной форме возможно при наличии на счёте участника закупки, открытом для проведения оп</w:t>
      </w:r>
      <w:r>
        <w:rPr>
          <w:rStyle w:val="787"/>
          <w:rFonts w:ascii="Times New Roman" w:hAnsi="Times New Roman"/>
          <w:sz w:val="22"/>
          <w:szCs w:val="22"/>
        </w:rPr>
        <w:t xml:space="preserve">ераций по обеспечению участия в закупках, денежных средств в размере не менее размера обеспечения заявки на участие в запросе котировок в электронной форме, если данное требование предусмотрено извещением о проведении запроса котировок в электронной форме.</w:t>
      </w:r>
      <w:r>
        <w:rPr>
          <w:rStyle w:val="787"/>
          <w:rFonts w:ascii="Times New Roman" w:hAnsi="Times New Roman"/>
          <w:sz w:val="22"/>
          <w:szCs w:val="22"/>
        </w:rPr>
      </w:r>
    </w:p>
    <w:p>
      <w:pPr>
        <w:pBdr/>
        <w:spacing w:line="240" w:lineRule="auto"/>
        <w:ind w:firstLine="709"/>
        <w:rPr>
          <w:rStyle w:val="787"/>
          <w:rFonts w:ascii="Times New Roman" w:hAnsi="Times New Roman"/>
          <w:sz w:val="22"/>
          <w:szCs w:val="22"/>
        </w:rPr>
      </w:pPr>
      <w:r>
        <w:rPr>
          <w:rStyle w:val="787"/>
          <w:rFonts w:ascii="Times New Roman" w:hAnsi="Times New Roman"/>
          <w:sz w:val="22"/>
          <w:szCs w:val="22"/>
        </w:rPr>
        <w:t xml:space="preserve">13.2. </w:t>
      </w:r>
      <w:r>
        <w:rPr>
          <w:rStyle w:val="787"/>
          <w:rFonts w:ascii="Times New Roman" w:hAnsi="Times New Roman"/>
          <w:sz w:val="22"/>
          <w:szCs w:val="22"/>
        </w:rPr>
        <w:t xml:space="preserve">Со дня размещения извещения о проведении запроса котировок в единой информационной системе и до окончания срока подачи котировочных заявок, установленного в извещении о проведении запроса котировок, заказчик осуществляет прием котировочных заявок. </w:t>
      </w:r>
      <w:r>
        <w:rPr>
          <w:rStyle w:val="787"/>
          <w:rFonts w:ascii="Times New Roman" w:hAnsi="Times New Roman"/>
          <w:sz w:val="22"/>
          <w:szCs w:val="22"/>
        </w:rPr>
      </w:r>
    </w:p>
    <w:p>
      <w:pPr>
        <w:pBdr/>
        <w:spacing w:line="240" w:lineRule="auto"/>
        <w:ind w:firstLine="709"/>
        <w:rPr>
          <w:sz w:val="22"/>
          <w:szCs w:val="22"/>
        </w:rPr>
      </w:pPr>
      <w:r>
        <w:rPr>
          <w:rStyle w:val="787"/>
          <w:rFonts w:ascii="Times New Roman" w:hAnsi="Times New Roman"/>
          <w:sz w:val="22"/>
          <w:szCs w:val="22"/>
        </w:rPr>
        <w:t xml:space="preserve">13.3</w:t>
      </w:r>
      <w:r>
        <w:rPr>
          <w:rStyle w:val="787"/>
          <w:rFonts w:ascii="Times New Roman" w:hAnsi="Times New Roman"/>
          <w:sz w:val="22"/>
          <w:szCs w:val="22"/>
        </w:rPr>
        <w:t xml:space="preserve">. Для </w:t>
      </w:r>
      <w:r>
        <w:rPr>
          <w:rStyle w:val="787"/>
          <w:rFonts w:ascii="Times New Roman" w:hAnsi="Times New Roman"/>
          <w:sz w:val="22"/>
          <w:szCs w:val="22"/>
        </w:rPr>
        <w:t xml:space="preserve">участия в проведении запроса котировок участник закупки любой участник закупки, в том числе участник закупки, которому не направлялся запрос котировок, вправе подать только одну котировочную заявку в порядке, установленном в извещении о проведении запроса </w:t>
      </w:r>
      <w:r>
        <w:rPr>
          <w:rStyle w:val="787"/>
          <w:rFonts w:ascii="Times New Roman" w:hAnsi="Times New Roman"/>
          <w:sz w:val="22"/>
          <w:szCs w:val="22"/>
        </w:rPr>
        <w:t xml:space="preserve">котировок. </w:t>
      </w:r>
      <w:r>
        <w:rPr>
          <w:rStyle w:val="787"/>
          <w:rFonts w:ascii="Times New Roman" w:hAnsi="Times New Roman"/>
          <w:sz w:val="22"/>
          <w:szCs w:val="22"/>
        </w:rPr>
        <w:t xml:space="preserve">При этом участники обязаны учитывать разъяснения/изменения Заказчика при подготовке своих заявок. Все риски и последствия за подачу заявки без учета официально размещенных разъяснений несет участник. </w:t>
      </w:r>
      <w:r>
        <w:rPr>
          <w:sz w:val="22"/>
          <w:szCs w:val="22"/>
        </w:rPr>
        <w:t xml:space="preserve">В случае подачи</w:t>
      </w:r>
      <w:r>
        <w:rPr>
          <w:sz w:val="22"/>
          <w:szCs w:val="22"/>
        </w:rPr>
        <w:t xml:space="preserve"> участником закупки двух и более заявок на участие в закупке в электронной форме при условии, что поданные ранее этим участником заявки на участие в закупке не отозваны, все заявки на участие в закупке этого участника возвращаются этому участнику. В случае</w:t>
      </w:r>
      <w:r>
        <w:rPr>
          <w:sz w:val="22"/>
          <w:szCs w:val="22"/>
        </w:rPr>
        <w:t xml:space="preserve">,</w:t>
      </w:r>
      <w:r>
        <w:rPr>
          <w:sz w:val="22"/>
          <w:szCs w:val="22"/>
        </w:rPr>
        <w:t xml:space="preserve"> если извещением об осуществлении закупки предусмотрено два и более лота, заявка на участие в закупке подается в отношении каждого лота отдельно. Участник закупки вправе изменить или отозвать свою заявку </w:t>
      </w:r>
      <w:r>
        <w:rPr>
          <w:sz w:val="22"/>
          <w:szCs w:val="22"/>
        </w:rPr>
        <w:t xml:space="preserve">на участие в закупке до истечения срока подачи заявок на участие в закупке</w:t>
      </w:r>
      <w:r>
        <w:rPr>
          <w:sz w:val="22"/>
          <w:szCs w:val="22"/>
        </w:rPr>
        <w:t xml:space="preserve">. Изменения и отзыв заявки осуществляется посредством функционала ЭП, а подробный порядок определяется Р</w:t>
      </w:r>
      <w:r>
        <w:rPr>
          <w:sz w:val="22"/>
          <w:szCs w:val="22"/>
        </w:rPr>
        <w:t xml:space="preserve">егламентом ЭП. Заявка на участие в закупке является измененной или отозванной, если изменение осуществлено или уведомление об отзыве заявки на участие в закупке получено оператором электронной площадки до истечения срока подачи заявок на участие в закупке.</w:t>
      </w:r>
      <w:r>
        <w:rPr>
          <w:sz w:val="22"/>
          <w:szCs w:val="22"/>
        </w:rPr>
      </w:r>
    </w:p>
    <w:p>
      <w:pPr>
        <w:pBdr/>
        <w:spacing w:line="240" w:lineRule="auto"/>
        <w:ind w:firstLine="709"/>
        <w:rPr>
          <w:rStyle w:val="787"/>
          <w:rFonts w:ascii="Times New Roman" w:hAnsi="Times New Roman"/>
          <w:color w:val="auto"/>
          <w:sz w:val="22"/>
          <w:szCs w:val="22"/>
        </w:rPr>
      </w:pPr>
      <w:r>
        <w:rPr>
          <w:sz w:val="22"/>
          <w:szCs w:val="22"/>
        </w:rPr>
        <w:t xml:space="preserve">В случае</w:t>
      </w:r>
      <w:r>
        <w:rPr>
          <w:sz w:val="22"/>
          <w:szCs w:val="22"/>
        </w:rPr>
        <w:t xml:space="preserve">,</w:t>
      </w:r>
      <w:r>
        <w:rPr>
          <w:sz w:val="22"/>
          <w:szCs w:val="22"/>
        </w:rPr>
        <w:t xml:space="preserve"> если правовыми актами Российской Федерации или регламентом электронной площадки установлены иные по сравнению с установленным</w:t>
      </w:r>
      <w:r>
        <w:rPr>
          <w:sz w:val="22"/>
          <w:szCs w:val="22"/>
        </w:rPr>
        <w:t xml:space="preserve">и Положением о закупке правила проведения конкурентной закупки в электронной форме нормативного или процедурного (технического) характера, приоритет будут иметь правила, содержащиеся в правовом акте Российской Федерации или регламенте электронной площадки.</w:t>
      </w:r>
      <w:r>
        <w:rPr>
          <w:rStyle w:val="787"/>
          <w:rFonts w:ascii="Times New Roman" w:hAnsi="Times New Roman"/>
          <w:color w:val="auto"/>
          <w:sz w:val="22"/>
          <w:szCs w:val="22"/>
        </w:rPr>
      </w:r>
    </w:p>
    <w:p>
      <w:pPr>
        <w:pBdr/>
        <w:spacing w:line="240" w:lineRule="auto"/>
        <w:ind w:firstLine="709"/>
        <w:rPr>
          <w:rStyle w:val="787"/>
          <w:rFonts w:ascii="Times New Roman" w:hAnsi="Times New Roman"/>
          <w:sz w:val="22"/>
          <w:szCs w:val="22"/>
        </w:rPr>
      </w:pPr>
      <w:r>
        <w:rPr>
          <w:rStyle w:val="787"/>
          <w:rFonts w:ascii="Times New Roman" w:hAnsi="Times New Roman"/>
          <w:sz w:val="22"/>
          <w:szCs w:val="22"/>
        </w:rPr>
        <w:t xml:space="preserve">13.4</w:t>
      </w:r>
      <w:r>
        <w:rPr>
          <w:rStyle w:val="787"/>
          <w:rFonts w:ascii="Times New Roman" w:hAnsi="Times New Roman"/>
          <w:sz w:val="22"/>
          <w:szCs w:val="22"/>
        </w:rPr>
        <w:t xml:space="preserve">. При подаче заявки участник закупки должен обеспечить все необходимое для определения</w:t>
      </w:r>
      <w:r>
        <w:rPr>
          <w:color w:val="000000"/>
          <w:sz w:val="22"/>
          <w:szCs w:val="22"/>
        </w:rPr>
        <w:t xml:space="preserve"> </w:t>
      </w:r>
      <w:r>
        <w:rPr>
          <w:rStyle w:val="787"/>
          <w:rFonts w:ascii="Times New Roman" w:hAnsi="Times New Roman"/>
          <w:sz w:val="22"/>
          <w:szCs w:val="22"/>
        </w:rPr>
        <w:t xml:space="preserve">подлинности заявки и входящих в ее состав документов.</w:t>
      </w:r>
      <w:r>
        <w:rPr>
          <w:rStyle w:val="787"/>
          <w:rFonts w:ascii="Times New Roman" w:hAnsi="Times New Roman"/>
          <w:sz w:val="22"/>
          <w:szCs w:val="22"/>
        </w:rPr>
      </w:r>
    </w:p>
    <w:p>
      <w:pPr>
        <w:pBdr/>
        <w:spacing w:line="240" w:lineRule="auto"/>
        <w:ind w:firstLine="709"/>
        <w:rPr>
          <w:color w:val="000000"/>
          <w:sz w:val="22"/>
          <w:szCs w:val="22"/>
        </w:rPr>
      </w:pPr>
      <w:r>
        <w:rPr>
          <w:rStyle w:val="787"/>
          <w:rFonts w:ascii="Times New Roman" w:hAnsi="Times New Roman"/>
          <w:sz w:val="22"/>
          <w:szCs w:val="22"/>
        </w:rPr>
        <w:t xml:space="preserve">13.5</w:t>
      </w:r>
      <w:r>
        <w:rPr>
          <w:rStyle w:val="787"/>
          <w:rFonts w:ascii="Times New Roman" w:hAnsi="Times New Roman"/>
          <w:sz w:val="22"/>
          <w:szCs w:val="22"/>
        </w:rPr>
        <w:t xml:space="preserve">. Если по окончании срока подачи котировочных заявок, установленного в извещении о проведении запроса котировок, будет получена только одна котировочная заявка или не будет получено ни одной заявки, запрос котировок будет признан несостоявшимся.</w:t>
      </w:r>
      <w:r>
        <w:rPr>
          <w:rStyle w:val="787"/>
          <w:rFonts w:ascii="Times New Roman" w:hAnsi="Times New Roman"/>
          <w:sz w:val="22"/>
          <w:szCs w:val="22"/>
        </w:rPr>
        <w:tab/>
      </w:r>
      <w:r>
        <w:rPr>
          <w:color w:val="000000"/>
          <w:sz w:val="22"/>
          <w:szCs w:val="22"/>
        </w:rPr>
      </w:r>
    </w:p>
    <w:p>
      <w:pPr>
        <w:pBdr/>
        <w:spacing w:line="240" w:lineRule="auto"/>
        <w:ind w:firstLine="709"/>
        <w:rPr>
          <w:color w:val="000000"/>
          <w:sz w:val="22"/>
          <w:szCs w:val="22"/>
        </w:rPr>
      </w:pPr>
      <w:r>
        <w:rPr>
          <w:rStyle w:val="787"/>
          <w:rFonts w:ascii="Times New Roman" w:hAnsi="Times New Roman"/>
          <w:sz w:val="22"/>
          <w:szCs w:val="22"/>
        </w:rPr>
        <w:t xml:space="preserve">13.6</w:t>
      </w:r>
      <w:r>
        <w:rPr>
          <w:rStyle w:val="787"/>
          <w:rFonts w:ascii="Times New Roman" w:hAnsi="Times New Roman"/>
          <w:sz w:val="22"/>
          <w:szCs w:val="22"/>
        </w:rPr>
        <w:t xml:space="preserve">. Если по окончании срока подачи котировочных заявок, установленного в извещении о проведении запроса котировок, заказчиком будет получена только одна котировочная </w:t>
      </w:r>
      <w:r>
        <w:rPr>
          <w:rStyle w:val="787"/>
          <w:rFonts w:ascii="Times New Roman" w:hAnsi="Times New Roman"/>
          <w:sz w:val="22"/>
          <w:szCs w:val="22"/>
        </w:rPr>
        <w:t xml:space="preserve">заявка</w:t>
      </w:r>
      <w:r>
        <w:rPr>
          <w:rStyle w:val="787"/>
          <w:rFonts w:ascii="Times New Roman" w:hAnsi="Times New Roman"/>
          <w:sz w:val="22"/>
          <w:szCs w:val="22"/>
        </w:rPr>
        <w:t xml:space="preserve"> несмотря на то, что</w:t>
      </w:r>
      <w:r>
        <w:rPr>
          <w:rStyle w:val="787"/>
          <w:rFonts w:ascii="Times New Roman" w:hAnsi="Times New Roman"/>
          <w:sz w:val="22"/>
          <w:szCs w:val="22"/>
        </w:rPr>
        <w:t xml:space="preserve"> запрос котировок признается несостоявшимся, комиссия по закупке рассмотрит ее в порядке, установленном настоящим</w:t>
      </w:r>
      <w:r>
        <w:rPr>
          <w:color w:val="000000"/>
          <w:sz w:val="22"/>
          <w:szCs w:val="22"/>
        </w:rPr>
        <w:t xml:space="preserve"> извещением</w:t>
      </w:r>
      <w:r>
        <w:rPr>
          <w:rStyle w:val="787"/>
          <w:rFonts w:ascii="Times New Roman" w:hAnsi="Times New Roman"/>
          <w:sz w:val="22"/>
          <w:szCs w:val="22"/>
        </w:rPr>
        <w:t xml:space="preserve">. Если рассматриваемая котировочная заявка и подавший такую заявку участник закупки соответствуют требованиям и условиям, предусмотренн</w:t>
      </w:r>
      <w:r>
        <w:rPr>
          <w:rStyle w:val="787"/>
          <w:rFonts w:ascii="Times New Roman" w:hAnsi="Times New Roman"/>
          <w:sz w:val="22"/>
          <w:szCs w:val="22"/>
        </w:rPr>
        <w:t xml:space="preserve">ым в извещении о проведении запроса котировок, заказчик заключит договор с участником закупки, подавшим такую заявку на условиях, указанных в извещении о проведении запроса котировок, проекта договора и заявки, поданной участником. Такой участник не вправе</w:t>
      </w:r>
      <w:r>
        <w:rPr>
          <w:color w:val="000000"/>
          <w:sz w:val="22"/>
          <w:szCs w:val="22"/>
        </w:rPr>
        <w:t xml:space="preserve"> </w:t>
      </w:r>
      <w:r>
        <w:rPr>
          <w:rStyle w:val="787"/>
          <w:rFonts w:ascii="Times New Roman" w:hAnsi="Times New Roman"/>
          <w:sz w:val="22"/>
          <w:szCs w:val="22"/>
        </w:rPr>
        <w:t xml:space="preserve">отказаться от заключения договора. </w:t>
      </w:r>
      <w:bookmarkEnd w:id="7"/>
      <w:r>
        <w:rPr>
          <w:color w:val="000000"/>
          <w:sz w:val="22"/>
          <w:szCs w:val="22"/>
        </w:rPr>
      </w:r>
    </w:p>
    <w:p>
      <w:pPr>
        <w:widowControl w:val="false"/>
        <w:pBdr/>
        <w:spacing w:line="240" w:lineRule="auto"/>
        <w:ind w:firstLine="709"/>
        <w:rPr>
          <w:sz w:val="22"/>
          <w:szCs w:val="22"/>
        </w:rPr>
      </w:pPr>
      <w:r>
        <w:rPr>
          <w:sz w:val="22"/>
          <w:szCs w:val="22"/>
        </w:rPr>
        <w:t xml:space="preserve">13.7</w:t>
      </w:r>
      <w:r>
        <w:rPr>
          <w:sz w:val="22"/>
          <w:szCs w:val="22"/>
        </w:rPr>
        <w:t xml:space="preserve">. Котировочные заявки, полученные заказчиком после окончания срока подачи котировочных заявок, установленного извещением о проведении запроса котировок, не рассматриваются.</w:t>
      </w:r>
      <w:r>
        <w:rPr>
          <w:sz w:val="22"/>
          <w:szCs w:val="22"/>
        </w:rPr>
      </w:r>
    </w:p>
    <w:p>
      <w:pPr>
        <w:pBdr/>
        <w:spacing w:line="240" w:lineRule="auto"/>
        <w:ind w:firstLine="709"/>
        <w:rPr>
          <w:rStyle w:val="787"/>
          <w:rFonts w:ascii="Times New Roman" w:hAnsi="Times New Roman"/>
          <w:b/>
          <w:bCs/>
          <w:sz w:val="22"/>
          <w:szCs w:val="22"/>
        </w:rPr>
      </w:pPr>
      <w:r/>
      <w:bookmarkStart w:id="8" w:name="_Hlk189655852"/>
      <w:r/>
      <w:bookmarkStart w:id="9" w:name="sub_97"/>
      <w:r/>
      <w:bookmarkStart w:id="10" w:name="sub_127"/>
      <w:r>
        <w:rPr>
          <w:rStyle w:val="787"/>
          <w:rFonts w:ascii="Times New Roman" w:hAnsi="Times New Roman"/>
          <w:b/>
          <w:bCs/>
          <w:sz w:val="22"/>
          <w:szCs w:val="22"/>
        </w:rPr>
        <w:t xml:space="preserve">14. </w:t>
      </w:r>
      <w:r>
        <w:rPr>
          <w:rStyle w:val="787"/>
          <w:rFonts w:ascii="Times New Roman" w:hAnsi="Times New Roman"/>
          <w:b/>
          <w:bCs/>
          <w:sz w:val="22"/>
          <w:szCs w:val="22"/>
        </w:rPr>
        <w:t xml:space="preserve">Информация о запрете или об ограничении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</w:t>
      </w:r>
      <w:r>
        <w:rPr>
          <w:rStyle w:val="787"/>
          <w:rFonts w:ascii="Times New Roman" w:hAnsi="Times New Roman"/>
          <w:b/>
          <w:bCs/>
          <w:sz w:val="22"/>
          <w:szCs w:val="22"/>
        </w:rPr>
        <w:t xml:space="preserve">ицами, о преимуществе в отношении товаров российского происхождения (в том числе поставляемых при выполнении закупаемых работ, оказании закупаемых услуг), работ, услуг, соответственно выполняемых, оказываемых российскими лицами, в случае, если такие запрет</w:t>
      </w:r>
      <w:r>
        <w:rPr>
          <w:rStyle w:val="787"/>
          <w:rFonts w:ascii="Times New Roman" w:hAnsi="Times New Roman"/>
          <w:b/>
          <w:bCs/>
          <w:sz w:val="22"/>
          <w:szCs w:val="22"/>
        </w:rPr>
        <w:t xml:space="preserve">, огранич</w:t>
      </w:r>
      <w:r>
        <w:rPr>
          <w:rStyle w:val="787"/>
          <w:rFonts w:ascii="Times New Roman" w:hAnsi="Times New Roman"/>
          <w:b/>
          <w:bCs/>
          <w:sz w:val="22"/>
          <w:szCs w:val="22"/>
        </w:rPr>
        <w:t xml:space="preserve">ение, преимущество установлены в соответствии с пунктом 1 части 2 статьи 3.1-4 Закона № 223-ФЗ в отношении товара, работы, услуги, являющихся предметом закупки, а также об установлении минимальной обязательной доли закупок товаров российского происхождения</w:t>
      </w:r>
      <w:r>
        <w:rPr>
          <w:rStyle w:val="787"/>
          <w:rFonts w:ascii="Times New Roman" w:hAnsi="Times New Roman"/>
          <w:b/>
          <w:bCs/>
          <w:sz w:val="22"/>
          <w:szCs w:val="22"/>
        </w:rPr>
      </w:r>
    </w:p>
    <w:p>
      <w:pPr>
        <w:pBdr/>
        <w:spacing w:line="240" w:lineRule="auto"/>
        <w:ind w:firstLine="709"/>
        <w:rPr>
          <w:rStyle w:val="787"/>
          <w:rFonts w:ascii="Times New Roman" w:hAnsi="Times New Roman"/>
          <w:b/>
          <w:bCs/>
          <w:sz w:val="22"/>
          <w:szCs w:val="22"/>
        </w:rPr>
      </w:pPr>
      <w:r>
        <w:rPr>
          <w:rStyle w:val="787"/>
          <w:rFonts w:ascii="Times New Roman" w:hAnsi="Times New Roman"/>
          <w:b/>
          <w:bCs/>
          <w:sz w:val="22"/>
          <w:szCs w:val="22"/>
        </w:rPr>
        <w:t xml:space="preserve">(1) Информация о запрете или об ограничении закупок товаров, о преимуществе:</w:t>
      </w:r>
      <w:r>
        <w:rPr>
          <w:rStyle w:val="787"/>
          <w:rFonts w:ascii="Times New Roman" w:hAnsi="Times New Roman"/>
          <w:b/>
          <w:bCs/>
          <w:sz w:val="22"/>
          <w:szCs w:val="22"/>
        </w:rPr>
      </w:r>
    </w:p>
    <w:tbl>
      <w:tblPr>
        <w:tblStyle w:val="731"/>
        <w:tblW w:w="0" w:type="auto"/>
        <w:tblBorders/>
        <w:tblLook w:val="04A0" w:firstRow="1" w:lastRow="0" w:firstColumn="1" w:lastColumn="0" w:noHBand="0" w:noVBand="1"/>
      </w:tblPr>
      <w:tblGrid>
        <w:gridCol w:w="7338"/>
        <w:gridCol w:w="2233"/>
      </w:tblGrid>
      <w:tr>
        <w:trPr/>
        <w:tc>
          <w:tcPr>
            <w:tcBorders/>
            <w:tcW w:w="7338" w:type="dxa"/>
            <w:textDirection w:val="lrTb"/>
            <w:noWrap w:val="false"/>
          </w:tcPr>
          <w:p>
            <w:pPr>
              <w:pBdr/>
              <w:spacing w:line="240" w:lineRule="auto"/>
              <w:ind w:firstLine="0"/>
              <w:rPr>
                <w:rStyle w:val="787"/>
                <w:rFonts w:ascii="Times New Roman" w:hAnsi="Times New Roman"/>
                <w:sz w:val="22"/>
                <w:szCs w:val="22"/>
              </w:rPr>
            </w:pPr>
            <w:r>
              <w:rPr>
                <w:rStyle w:val="787"/>
                <w:rFonts w:ascii="Times New Roman" w:hAnsi="Times New Roman"/>
                <w:b/>
                <w:bCs/>
                <w:sz w:val="22"/>
                <w:szCs w:val="22"/>
              </w:rPr>
              <w:t xml:space="preserve">Запрет </w:t>
            </w:r>
            <w:r>
              <w:rPr>
                <w:rStyle w:val="787"/>
                <w:rFonts w:ascii="Times New Roman" w:hAnsi="Times New Roman"/>
                <w:sz w:val="22"/>
                <w:szCs w:val="22"/>
              </w:rPr>
              <w:t xml:space="preserve">в отношении товаров (в том ч</w:t>
            </w:r>
            <w:r>
              <w:rPr>
                <w:rStyle w:val="787"/>
                <w:rFonts w:ascii="Times New Roman" w:hAnsi="Times New Roman"/>
                <w:sz w:val="22"/>
                <w:szCs w:val="22"/>
              </w:rPr>
              <w:t xml:space="preserve">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 и указанных в позициях перечня № 1 ПП РФ от 23.12.2024 № 1875 (</w:t>
            </w:r>
            <w:r>
              <w:rPr>
                <w:rStyle w:val="787"/>
                <w:rFonts w:ascii="Times New Roman" w:hAnsi="Times New Roman"/>
                <w:i/>
                <w:iCs/>
                <w:sz w:val="22"/>
                <w:szCs w:val="22"/>
              </w:rPr>
              <w:t xml:space="preserve">за исключением случаев, когда такие запреты могут или не применяются</w:t>
            </w:r>
            <w:r>
              <w:rPr>
                <w:rStyle w:val="787"/>
                <w:rFonts w:ascii="Times New Roman" w:hAnsi="Times New Roman"/>
                <w:sz w:val="22"/>
                <w:szCs w:val="22"/>
              </w:rPr>
              <w:t xml:space="preserve">)</w:t>
            </w:r>
            <w:r>
              <w:rPr>
                <w:rStyle w:val="787"/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Borders/>
            <w:tcW w:w="2233" w:type="dxa"/>
            <w:textDirection w:val="lrTb"/>
            <w:noWrap w:val="false"/>
          </w:tcPr>
          <w:p>
            <w:pPr>
              <w:pBdr/>
              <w:spacing w:line="240" w:lineRule="auto"/>
              <w:ind w:firstLine="0"/>
              <w:rPr>
                <w:rStyle w:val="787"/>
                <w:rFonts w:ascii="Times New Roman" w:hAnsi="Times New Roman"/>
                <w:color w:val="ff0000"/>
                <w:sz w:val="22"/>
                <w:szCs w:val="22"/>
              </w:rPr>
            </w:pPr>
            <w:r>
              <w:rPr>
                <w:rStyle w:val="787"/>
                <w:rFonts w:ascii="Times New Roman" w:hAnsi="Times New Roman"/>
                <w:color w:val="ff0000"/>
                <w:sz w:val="22"/>
                <w:szCs w:val="22"/>
              </w:rPr>
              <w:t xml:space="preserve">Не установлено</w:t>
            </w:r>
            <w:r>
              <w:rPr>
                <w:rStyle w:val="787"/>
                <w:rFonts w:ascii="Times New Roman" w:hAnsi="Times New Roman"/>
                <w:color w:val="ff0000"/>
                <w:sz w:val="22"/>
                <w:szCs w:val="22"/>
              </w:rPr>
            </w:r>
          </w:p>
        </w:tc>
      </w:tr>
      <w:tr>
        <w:trPr/>
        <w:tc>
          <w:tcPr>
            <w:tcBorders/>
            <w:tcW w:w="7338" w:type="dxa"/>
            <w:textDirection w:val="lrTb"/>
            <w:noWrap w:val="false"/>
          </w:tcPr>
          <w:p>
            <w:pPr>
              <w:pBdr/>
              <w:spacing w:line="240" w:lineRule="auto"/>
              <w:ind w:firstLine="0"/>
              <w:rPr>
                <w:rStyle w:val="787"/>
                <w:rFonts w:ascii="Times New Roman" w:hAnsi="Times New Roman"/>
                <w:sz w:val="22"/>
                <w:szCs w:val="22"/>
              </w:rPr>
            </w:pPr>
            <w:r>
              <w:rPr>
                <w:rStyle w:val="787"/>
                <w:rFonts w:ascii="Times New Roman" w:hAnsi="Times New Roman"/>
                <w:b/>
                <w:bCs/>
                <w:sz w:val="22"/>
                <w:szCs w:val="22"/>
              </w:rPr>
              <w:t xml:space="preserve">Ограничение</w:t>
            </w:r>
            <w:r>
              <w:rPr>
                <w:rStyle w:val="787"/>
                <w:rFonts w:ascii="Times New Roman" w:hAnsi="Times New Roman"/>
                <w:sz w:val="22"/>
                <w:szCs w:val="22"/>
              </w:rPr>
              <w:t xml:space="preserve"> в отношении товаров (в том ч</w:t>
            </w:r>
            <w:r>
              <w:rPr>
                <w:rStyle w:val="787"/>
                <w:rFonts w:ascii="Times New Roman" w:hAnsi="Times New Roman"/>
                <w:sz w:val="22"/>
                <w:szCs w:val="22"/>
              </w:rPr>
              <w:t xml:space="preserve">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 и указанных в позициях перечня № 2 ПП РФ от 23.12.2024 № 1875 (</w:t>
            </w:r>
            <w:r>
              <w:rPr>
                <w:rStyle w:val="787"/>
                <w:rFonts w:ascii="Times New Roman" w:hAnsi="Times New Roman"/>
                <w:i/>
                <w:iCs/>
                <w:sz w:val="22"/>
                <w:szCs w:val="22"/>
              </w:rPr>
              <w:t xml:space="preserve">за исключением </w:t>
            </w:r>
            <w:r>
              <w:rPr>
                <w:rStyle w:val="787"/>
                <w:rFonts w:ascii="Times New Roman" w:hAnsi="Times New Roman"/>
                <w:i/>
                <w:iCs/>
                <w:sz w:val="22"/>
                <w:szCs w:val="22"/>
              </w:rPr>
              <w:t xml:space="preserve">случаев, когда такие ограничения могут или не применяются</w:t>
            </w:r>
            <w:r>
              <w:rPr>
                <w:rStyle w:val="787"/>
                <w:rFonts w:ascii="Times New Roman" w:hAnsi="Times New Roman"/>
                <w:sz w:val="22"/>
                <w:szCs w:val="22"/>
              </w:rPr>
              <w:t xml:space="preserve">)</w:t>
            </w:r>
            <w:r>
              <w:rPr>
                <w:rStyle w:val="787"/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Borders/>
            <w:tcW w:w="2233" w:type="dxa"/>
            <w:textDirection w:val="lrTb"/>
            <w:noWrap w:val="false"/>
          </w:tcPr>
          <w:p>
            <w:pPr>
              <w:pBdr/>
              <w:spacing w:line="240" w:lineRule="auto"/>
              <w:ind w:firstLine="0"/>
              <w:rPr>
                <w:rStyle w:val="787"/>
                <w:rFonts w:ascii="Times New Roman" w:hAnsi="Times New Roman"/>
                <w:color w:val="ff0000"/>
                <w:sz w:val="22"/>
                <w:szCs w:val="22"/>
              </w:rPr>
            </w:pPr>
            <w:r>
              <w:rPr>
                <w:rStyle w:val="787"/>
                <w:rFonts w:ascii="Times New Roman" w:hAnsi="Times New Roman"/>
                <w:color w:val="ff0000"/>
                <w:sz w:val="22"/>
                <w:szCs w:val="22"/>
              </w:rPr>
              <w:t xml:space="preserve">Не установлено</w:t>
            </w:r>
            <w:r>
              <w:rPr>
                <w:rStyle w:val="787"/>
                <w:rFonts w:ascii="Times New Roman" w:hAnsi="Times New Roman"/>
                <w:color w:val="ff0000"/>
                <w:sz w:val="22"/>
                <w:szCs w:val="22"/>
              </w:rPr>
            </w:r>
          </w:p>
        </w:tc>
      </w:tr>
      <w:tr>
        <w:trPr>
          <w:trHeight w:val="62"/>
        </w:trPr>
        <w:tc>
          <w:tcPr>
            <w:tcBorders/>
            <w:tcW w:w="7338" w:type="dxa"/>
            <w:textDirection w:val="lrTb"/>
            <w:noWrap w:val="false"/>
          </w:tcPr>
          <w:p>
            <w:pPr>
              <w:pBdr/>
              <w:spacing w:line="240" w:lineRule="auto"/>
              <w:ind w:firstLine="0"/>
              <w:rPr>
                <w:rStyle w:val="787"/>
                <w:rFonts w:ascii="Times New Roman" w:hAnsi="Times New Roman"/>
                <w:sz w:val="22"/>
                <w:szCs w:val="22"/>
              </w:rPr>
            </w:pPr>
            <w:r>
              <w:rPr>
                <w:rStyle w:val="787"/>
                <w:rFonts w:ascii="Times New Roman" w:hAnsi="Times New Roman"/>
                <w:b/>
                <w:bCs/>
                <w:sz w:val="22"/>
                <w:szCs w:val="22"/>
              </w:rPr>
              <w:t xml:space="preserve">Преимущество</w:t>
            </w:r>
            <w:r>
              <w:rPr>
                <w:rStyle w:val="787"/>
                <w:rFonts w:ascii="Times New Roman" w:hAnsi="Times New Roman"/>
                <w:sz w:val="22"/>
                <w:szCs w:val="22"/>
              </w:rPr>
              <w:t xml:space="preserve"> в </w:t>
            </w:r>
            <w:r>
              <w:rPr>
                <w:rStyle w:val="787"/>
                <w:rFonts w:ascii="Times New Roman" w:hAnsi="Times New Roman"/>
                <w:sz w:val="22"/>
                <w:szCs w:val="22"/>
              </w:rPr>
              <w:t xml:space="preserve">отношении товаров (в том числе поставляемых при выполнении закупаемых работ, оказании закупаемых услуг), работ, услуг, соответственно выполняемых, оказываемых иностранными лицами, указанных и не указанных в позициях перечня № 1-2 ПП РФ от 23.12.2024 № 1875</w:t>
            </w:r>
            <w:r>
              <w:rPr>
                <w:rStyle w:val="787"/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Borders/>
            <w:tcW w:w="2233" w:type="dxa"/>
            <w:textDirection w:val="lrTb"/>
            <w:noWrap w:val="false"/>
          </w:tcPr>
          <w:p>
            <w:pPr>
              <w:pBdr/>
              <w:spacing w:line="240" w:lineRule="auto"/>
              <w:ind w:firstLine="0"/>
              <w:rPr>
                <w:rStyle w:val="787"/>
                <w:rFonts w:ascii="Times New Roman" w:hAnsi="Times New Roman"/>
                <w:color w:val="ff0000"/>
                <w:sz w:val="22"/>
                <w:szCs w:val="22"/>
              </w:rPr>
            </w:pPr>
            <w:r>
              <w:rPr>
                <w:rStyle w:val="787"/>
                <w:rFonts w:ascii="Times New Roman" w:hAnsi="Times New Roman"/>
                <w:color w:val="ff0000"/>
                <w:sz w:val="22"/>
                <w:szCs w:val="22"/>
                <w:highlight w:val="yellow"/>
              </w:rPr>
              <w:t xml:space="preserve">У</w:t>
            </w:r>
            <w:r>
              <w:rPr>
                <w:rStyle w:val="787"/>
                <w:rFonts w:ascii="Times New Roman" w:hAnsi="Times New Roman"/>
                <w:color w:val="ff0000"/>
                <w:sz w:val="22"/>
                <w:szCs w:val="22"/>
                <w:highlight w:val="yellow"/>
              </w:rPr>
              <w:t xml:space="preserve">становлено</w:t>
            </w:r>
            <w:r>
              <w:rPr>
                <w:rStyle w:val="787"/>
                <w:rFonts w:ascii="Times New Roman" w:hAnsi="Times New Roman"/>
                <w:color w:val="ff0000"/>
                <w:sz w:val="22"/>
                <w:szCs w:val="22"/>
              </w:rPr>
            </w:r>
          </w:p>
        </w:tc>
      </w:tr>
    </w:tbl>
    <w:p>
      <w:pPr>
        <w:pBdr/>
        <w:spacing w:line="240" w:lineRule="auto"/>
        <w:ind w:firstLine="709"/>
        <w:rPr>
          <w:rStyle w:val="787"/>
          <w:rFonts w:ascii="Times New Roman" w:hAnsi="Times New Roman"/>
          <w:b/>
          <w:bCs/>
          <w:sz w:val="22"/>
          <w:szCs w:val="22"/>
        </w:rPr>
      </w:pPr>
      <w:r>
        <w:rPr>
          <w:rStyle w:val="787"/>
          <w:rFonts w:ascii="Times New Roman" w:hAnsi="Times New Roman"/>
          <w:b/>
          <w:bCs/>
          <w:sz w:val="22"/>
          <w:szCs w:val="22"/>
        </w:rPr>
        <w:t xml:space="preserve">Информацией и документами, подтверждающими страну происхождения товара </w:t>
      </w:r>
      <w:r>
        <w:rPr>
          <w:rStyle w:val="787"/>
          <w:rFonts w:ascii="Times New Roman" w:hAnsi="Times New Roman"/>
          <w:sz w:val="22"/>
          <w:szCs w:val="22"/>
        </w:rPr>
        <w:t xml:space="preserve">в части вышеприведенных мер, является:</w:t>
      </w:r>
      <w:r>
        <w:rPr>
          <w:rStyle w:val="787"/>
          <w:rFonts w:ascii="Times New Roman" w:hAnsi="Times New Roman"/>
          <w:b/>
          <w:bCs/>
          <w:sz w:val="22"/>
          <w:szCs w:val="22"/>
        </w:rPr>
      </w:r>
    </w:p>
    <w:tbl>
      <w:tblPr>
        <w:tblStyle w:val="731"/>
        <w:tblW w:w="0" w:type="auto"/>
        <w:tblBorders/>
        <w:tblLook w:val="04A0" w:firstRow="1" w:lastRow="0" w:firstColumn="1" w:lastColumn="0" w:noHBand="0" w:noVBand="1"/>
      </w:tblPr>
      <w:tblGrid>
        <w:gridCol w:w="4735"/>
        <w:gridCol w:w="4836"/>
      </w:tblGrid>
      <w:tr>
        <w:trPr/>
        <w:tc>
          <w:tcPr>
            <w:tcBorders/>
            <w:tcW w:w="4735" w:type="dxa"/>
            <w:textDirection w:val="lrTb"/>
            <w:noWrap w:val="false"/>
          </w:tcPr>
          <w:p>
            <w:pPr>
              <w:pStyle w:val="785"/>
              <w:pBdr/>
              <w:spacing w:line="240" w:lineRule="auto"/>
              <w:ind w:firstLine="0" w:left="0"/>
              <w:rPr>
                <w:rStyle w:val="787"/>
                <w:rFonts w:ascii="Times New Roman" w:hAnsi="Times New Roman"/>
                <w:sz w:val="22"/>
                <w:szCs w:val="22"/>
              </w:rPr>
            </w:pPr>
            <w:r>
              <w:rPr>
                <w:rStyle w:val="787"/>
                <w:rFonts w:ascii="Segoe UI Symbol" w:hAnsi="Segoe UI Symbol" w:cs="Segoe UI Symbol"/>
                <w:sz w:val="22"/>
                <w:szCs w:val="22"/>
              </w:rPr>
              <w:t xml:space="preserve">☐</w:t>
            </w:r>
            <w:r>
              <w:rPr>
                <w:rStyle w:val="787"/>
                <w:rFonts w:ascii="Times New Roman" w:hAnsi="Times New Roman"/>
                <w:sz w:val="22"/>
                <w:szCs w:val="22"/>
              </w:rPr>
              <w:t xml:space="preserve"> номер реестровой записи</w:t>
            </w:r>
            <w:r>
              <w:rPr>
                <w:rStyle w:val="787"/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Borders/>
            <w:tcW w:w="4836" w:type="dxa"/>
            <w:textDirection w:val="lrTb"/>
            <w:noWrap w:val="false"/>
          </w:tcPr>
          <w:p>
            <w:pPr>
              <w:pStyle w:val="785"/>
              <w:pBdr/>
              <w:spacing w:line="240" w:lineRule="auto"/>
              <w:ind w:firstLine="0" w:left="0"/>
              <w:rPr>
                <w:rStyle w:val="787"/>
                <w:rFonts w:ascii="Times New Roman" w:hAnsi="Times New Roman"/>
                <w:sz w:val="22"/>
                <w:szCs w:val="22"/>
              </w:rPr>
            </w:pPr>
            <w:r>
              <w:rPr>
                <w:rStyle w:val="787"/>
                <w:rFonts w:ascii="Segoe UI Symbol" w:hAnsi="Segoe UI Symbol" w:cs="Segoe UI Symbol"/>
                <w:sz w:val="22"/>
                <w:szCs w:val="22"/>
              </w:rPr>
              <w:t xml:space="preserve">☐</w:t>
            </w:r>
            <w:r>
              <w:rPr>
                <w:rStyle w:val="787"/>
                <w:rFonts w:ascii="Times New Roman" w:hAnsi="Times New Roman"/>
                <w:sz w:val="22"/>
                <w:szCs w:val="22"/>
              </w:rPr>
              <w:t xml:space="preserve"> из российского (евразийского) реестра промышленной продукции</w:t>
            </w:r>
            <w:r>
              <w:rPr>
                <w:rStyle w:val="787"/>
                <w:rFonts w:ascii="Times New Roman" w:hAnsi="Times New Roman"/>
                <w:sz w:val="22"/>
                <w:szCs w:val="22"/>
              </w:rPr>
            </w:r>
          </w:p>
          <w:p>
            <w:pPr>
              <w:pBdr/>
              <w:spacing w:line="240" w:lineRule="auto"/>
              <w:ind w:firstLine="0"/>
              <w:rPr>
                <w:rStyle w:val="787"/>
                <w:rFonts w:ascii="Times New Roman" w:hAnsi="Times New Roman"/>
                <w:sz w:val="22"/>
                <w:szCs w:val="22"/>
              </w:rPr>
            </w:pPr>
            <w:r>
              <w:rPr>
                <w:rStyle w:val="787"/>
                <w:rFonts w:ascii="Segoe UI Symbol" w:hAnsi="Segoe UI Symbol" w:cs="Segoe UI Symbol"/>
                <w:sz w:val="22"/>
                <w:szCs w:val="22"/>
              </w:rPr>
              <w:t xml:space="preserve">☐</w:t>
            </w:r>
            <w:r>
              <w:rPr>
                <w:rStyle w:val="787"/>
                <w:rFonts w:ascii="Times New Roman" w:hAnsi="Times New Roman"/>
                <w:sz w:val="22"/>
                <w:szCs w:val="22"/>
              </w:rPr>
              <w:t xml:space="preserve"> из реестра российского (евразийского) программного обеспечения</w:t>
            </w:r>
            <w:r>
              <w:rPr>
                <w:rStyle w:val="787"/>
                <w:rFonts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Borders/>
            <w:tcW w:w="4735" w:type="dxa"/>
            <w:textDirection w:val="lrTb"/>
            <w:noWrap w:val="false"/>
          </w:tcPr>
          <w:p>
            <w:pPr>
              <w:pStyle w:val="785"/>
              <w:numPr>
                <w:ilvl w:val="0"/>
                <w:numId w:val="18"/>
              </w:numPr>
              <w:pBdr/>
              <w:spacing w:line="240" w:lineRule="auto"/>
              <w:ind w:firstLine="0" w:left="0"/>
              <w:rPr>
                <w:rStyle w:val="787"/>
                <w:rFonts w:ascii="Times New Roman" w:hAnsi="Times New Roman"/>
                <w:sz w:val="22"/>
                <w:szCs w:val="22"/>
              </w:rPr>
            </w:pPr>
            <w:r>
              <w:rPr>
                <w:rStyle w:val="787"/>
                <w:rFonts w:ascii="Times New Roman" w:hAnsi="Times New Roman"/>
                <w:sz w:val="22"/>
                <w:szCs w:val="22"/>
              </w:rPr>
              <w:t xml:space="preserve">наименование страны происхождения</w:t>
            </w:r>
            <w:r>
              <w:rPr>
                <w:rStyle w:val="787"/>
                <w:rFonts w:ascii="Times New Roman" w:hAnsi="Times New Roman"/>
                <w:sz w:val="22"/>
                <w:szCs w:val="22"/>
              </w:rPr>
            </w:r>
          </w:p>
          <w:p>
            <w:pPr>
              <w:pBdr/>
              <w:spacing w:line="240" w:lineRule="auto"/>
              <w:ind w:firstLine="0"/>
              <w:rPr>
                <w:rStyle w:val="787"/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Style w:val="787"/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Borders/>
            <w:tcW w:w="4836" w:type="dxa"/>
            <w:textDirection w:val="lrTb"/>
            <w:noWrap w:val="false"/>
          </w:tcPr>
          <w:p>
            <w:pPr>
              <w:pBdr/>
              <w:spacing w:line="240" w:lineRule="auto"/>
              <w:ind w:firstLine="0"/>
              <w:rPr>
                <w:rStyle w:val="787"/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Style w:val="787"/>
                <w:rFonts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Borders/>
            <w:tcW w:w="4735" w:type="dxa"/>
            <w:textDirection w:val="lrTb"/>
            <w:noWrap w:val="false"/>
          </w:tcPr>
          <w:p>
            <w:pPr>
              <w:pBdr/>
              <w:spacing w:line="240" w:lineRule="auto"/>
              <w:ind w:firstLine="0"/>
              <w:rPr>
                <w:rStyle w:val="787"/>
                <w:rFonts w:ascii="Times New Roman" w:hAnsi="Times New Roman"/>
                <w:sz w:val="22"/>
                <w:szCs w:val="22"/>
              </w:rPr>
            </w:pPr>
            <w:r>
              <w:rPr>
                <w:rStyle w:val="787"/>
                <w:rFonts w:ascii="Segoe UI Symbol" w:hAnsi="Segoe UI Symbol" w:cs="Segoe UI Symbol"/>
                <w:sz w:val="22"/>
                <w:szCs w:val="22"/>
              </w:rPr>
              <w:t xml:space="preserve">☐</w:t>
            </w:r>
            <w:r>
              <w:rPr>
                <w:rStyle w:val="787"/>
                <w:rFonts w:ascii="Times New Roman" w:hAnsi="Times New Roman"/>
                <w:sz w:val="22"/>
                <w:szCs w:val="22"/>
              </w:rPr>
              <w:t xml:space="preserve"> акт экспертизы ТПП РФ или аналогичный документ, выданный в ЕАЭС</w:t>
            </w:r>
            <w:r>
              <w:rPr>
                <w:rStyle w:val="787"/>
                <w:rFonts w:ascii="Times New Roman" w:hAnsi="Times New Roman"/>
                <w:sz w:val="22"/>
                <w:szCs w:val="22"/>
              </w:rPr>
            </w:r>
          </w:p>
          <w:p>
            <w:pPr>
              <w:pBdr/>
              <w:spacing w:line="240" w:lineRule="auto"/>
              <w:ind w:firstLine="0"/>
              <w:rPr>
                <w:rStyle w:val="787"/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Style w:val="787"/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Borders/>
            <w:tcW w:w="4836" w:type="dxa"/>
            <w:textDirection w:val="lrTb"/>
            <w:noWrap w:val="false"/>
          </w:tcPr>
          <w:p>
            <w:pPr>
              <w:pBdr/>
              <w:spacing w:line="240" w:lineRule="auto"/>
              <w:ind w:firstLine="0"/>
              <w:rPr>
                <w:rStyle w:val="787"/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Style w:val="787"/>
                <w:rFonts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Borders/>
            <w:tcW w:w="4735" w:type="dxa"/>
            <w:textDirection w:val="lrTb"/>
            <w:noWrap w:val="false"/>
          </w:tcPr>
          <w:p>
            <w:pPr>
              <w:pBdr/>
              <w:spacing w:line="240" w:lineRule="auto"/>
              <w:ind w:firstLine="0"/>
              <w:rPr>
                <w:rStyle w:val="787"/>
                <w:rFonts w:ascii="Times New Roman" w:hAnsi="Times New Roman"/>
                <w:sz w:val="22"/>
                <w:szCs w:val="22"/>
              </w:rPr>
            </w:pPr>
            <w:r>
              <w:rPr>
                <w:rStyle w:val="787"/>
                <w:rFonts w:ascii="Segoe UI Symbol" w:hAnsi="Segoe UI Symbol" w:cs="Segoe UI Symbol"/>
                <w:sz w:val="22"/>
                <w:szCs w:val="22"/>
              </w:rPr>
              <w:t xml:space="preserve">☐</w:t>
            </w:r>
            <w:r>
              <w:rPr>
                <w:rStyle w:val="787"/>
                <w:rFonts w:ascii="Times New Roman" w:hAnsi="Times New Roman"/>
                <w:sz w:val="22"/>
                <w:szCs w:val="22"/>
              </w:rPr>
              <w:t xml:space="preserve"> сертификат о происхождении товара (СТ-1)</w:t>
            </w:r>
            <w:r>
              <w:rPr>
                <w:rStyle w:val="787"/>
                <w:rFonts w:ascii="Times New Roman" w:hAnsi="Times New Roman"/>
                <w:sz w:val="22"/>
                <w:szCs w:val="22"/>
              </w:rPr>
            </w:r>
          </w:p>
          <w:p>
            <w:pPr>
              <w:pBdr/>
              <w:spacing w:line="240" w:lineRule="auto"/>
              <w:ind w:firstLine="0"/>
              <w:rPr>
                <w:rStyle w:val="787"/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Style w:val="787"/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Borders/>
            <w:tcW w:w="4836" w:type="dxa"/>
            <w:textDirection w:val="lrTb"/>
            <w:noWrap w:val="false"/>
          </w:tcPr>
          <w:p>
            <w:pPr>
              <w:pBdr/>
              <w:spacing w:line="240" w:lineRule="auto"/>
              <w:ind w:firstLine="0"/>
              <w:rPr>
                <w:rStyle w:val="787"/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Style w:val="787"/>
                <w:rFonts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Borders/>
            <w:tcW w:w="4735" w:type="dxa"/>
            <w:textDirection w:val="lrTb"/>
            <w:noWrap w:val="false"/>
          </w:tcPr>
          <w:p>
            <w:pPr>
              <w:pBdr/>
              <w:spacing w:line="240" w:lineRule="auto"/>
              <w:ind w:firstLine="0"/>
              <w:rPr>
                <w:rStyle w:val="787"/>
                <w:rFonts w:ascii="Times New Roman" w:hAnsi="Times New Roman"/>
                <w:sz w:val="22"/>
                <w:szCs w:val="22"/>
              </w:rPr>
            </w:pPr>
            <w:r>
              <w:rPr>
                <w:rStyle w:val="787"/>
                <w:rFonts w:ascii="Segoe UI Symbol" w:hAnsi="Segoe UI Symbol" w:cs="Segoe UI Symbol"/>
                <w:sz w:val="22"/>
                <w:szCs w:val="22"/>
              </w:rPr>
              <w:t xml:space="preserve">☐</w:t>
            </w:r>
            <w:r>
              <w:rPr>
                <w:rStyle w:val="787"/>
                <w:rFonts w:ascii="Times New Roman" w:hAnsi="Times New Roman"/>
                <w:sz w:val="22"/>
                <w:szCs w:val="22"/>
              </w:rPr>
              <w:t xml:space="preserve"> реквизиты (дата и номер) документа о соответствии производства </w:t>
            </w:r>
            <w:r>
              <w:rPr>
                <w:rStyle w:val="787"/>
                <w:rFonts w:ascii="Times New Roman" w:hAnsi="Times New Roman"/>
                <w:sz w:val="22"/>
                <w:szCs w:val="22"/>
              </w:rPr>
              <w:t xml:space="preserve">медизделий</w:t>
            </w:r>
            <w:r>
              <w:rPr>
                <w:rStyle w:val="787"/>
                <w:rFonts w:ascii="Times New Roman" w:hAnsi="Times New Roman"/>
                <w:sz w:val="22"/>
                <w:szCs w:val="22"/>
              </w:rPr>
              <w:t xml:space="preserve"> требованиям ГОСТ ISO 13485-2017</w:t>
            </w:r>
            <w:r>
              <w:rPr>
                <w:rStyle w:val="787"/>
                <w:rFonts w:ascii="Times New Roman" w:hAnsi="Times New Roman"/>
                <w:sz w:val="22"/>
                <w:szCs w:val="22"/>
              </w:rPr>
            </w:r>
          </w:p>
          <w:p>
            <w:pPr>
              <w:pBdr/>
              <w:spacing w:line="240" w:lineRule="auto"/>
              <w:ind w:firstLine="0"/>
              <w:rPr>
                <w:rStyle w:val="787"/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Style w:val="787"/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Borders/>
            <w:tcW w:w="4836" w:type="dxa"/>
            <w:textDirection w:val="lrTb"/>
            <w:noWrap w:val="false"/>
          </w:tcPr>
          <w:p>
            <w:pPr>
              <w:pBdr/>
              <w:spacing w:line="240" w:lineRule="auto"/>
              <w:ind w:firstLine="0"/>
              <w:rPr>
                <w:rStyle w:val="787"/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Style w:val="787"/>
                <w:rFonts w:ascii="Times New Roman" w:hAnsi="Times New Roman"/>
                <w:sz w:val="22"/>
                <w:szCs w:val="22"/>
              </w:rPr>
            </w:r>
          </w:p>
        </w:tc>
      </w:tr>
    </w:tbl>
    <w:p>
      <w:pPr>
        <w:pBdr/>
        <w:tabs>
          <w:tab w:val="left" w:leader="none" w:pos="618"/>
        </w:tabs>
        <w:spacing w:line="240" w:lineRule="auto"/>
        <w:ind w:firstLine="709"/>
        <w:rPr>
          <w:rStyle w:val="787"/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  <w:r>
        <w:rPr>
          <w:rStyle w:val="787"/>
          <w:rFonts w:ascii="Times New Roman" w:hAnsi="Times New Roman"/>
          <w:sz w:val="22"/>
          <w:szCs w:val="22"/>
        </w:rPr>
      </w:r>
    </w:p>
    <w:tbl>
      <w:tblPr>
        <w:tblStyle w:val="731"/>
        <w:tblW w:w="0" w:type="auto"/>
        <w:tblBorders/>
        <w:tblLook w:val="04A0" w:firstRow="1" w:lastRow="0" w:firstColumn="1" w:lastColumn="0" w:noHBand="0" w:noVBand="1"/>
      </w:tblPr>
      <w:tblGrid>
        <w:gridCol w:w="7479"/>
        <w:gridCol w:w="2092"/>
      </w:tblGrid>
      <w:tr>
        <w:trPr/>
        <w:tc>
          <w:tcPr>
            <w:tcBorders/>
            <w:tcW w:w="7479" w:type="dxa"/>
            <w:textDirection w:val="lrTb"/>
            <w:noWrap w:val="false"/>
          </w:tcPr>
          <w:p>
            <w:pPr>
              <w:pBdr/>
              <w:tabs>
                <w:tab w:val="left" w:leader="none" w:pos="618"/>
              </w:tabs>
              <w:spacing w:line="240" w:lineRule="auto"/>
              <w:ind w:firstLine="0"/>
              <w:jc w:val="left"/>
              <w:rPr>
                <w:b/>
                <w:sz w:val="22"/>
                <w:szCs w:val="22"/>
              </w:rPr>
            </w:pPr>
            <w:r>
              <w:rPr>
                <w:rStyle w:val="787"/>
                <w:rFonts w:ascii="Times New Roman" w:hAnsi="Times New Roman"/>
                <w:b/>
                <w:bCs/>
                <w:sz w:val="22"/>
                <w:szCs w:val="22"/>
              </w:rPr>
              <w:t xml:space="preserve">(2) Минимальная обязательная доля закупок</w:t>
            </w:r>
            <w:r>
              <w:rPr>
                <w:rStyle w:val="787"/>
                <w:rFonts w:ascii="Times New Roman" w:hAnsi="Times New Roman"/>
                <w:sz w:val="22"/>
                <w:szCs w:val="22"/>
              </w:rPr>
              <w:t xml:space="preserve"> товаров ро</w:t>
            </w:r>
            <w:r>
              <w:rPr>
                <w:rStyle w:val="787"/>
                <w:rFonts w:ascii="Times New Roman" w:hAnsi="Times New Roman"/>
                <w:sz w:val="22"/>
                <w:szCs w:val="22"/>
              </w:rPr>
              <w:t xml:space="preserve">ссийского происхождения, определенна в процентном отношении к объему закупок соответствующих товаров (в том числе товаров, поставляемых при выполнении закупаемых работ, оказании закупаемых услуг), осуществленных заказчиком в отчетном году, устанавливается </w:t>
            </w:r>
            <w:r>
              <w:rPr>
                <w:rStyle w:val="787"/>
                <w:rFonts w:ascii="Times New Roman" w:hAnsi="Times New Roman"/>
                <w:sz w:val="22"/>
                <w:szCs w:val="22"/>
              </w:rPr>
              <w:t xml:space="preserve">согласно перечня</w:t>
            </w:r>
            <w:r>
              <w:rPr>
                <w:rStyle w:val="787"/>
                <w:rFonts w:ascii="Times New Roman" w:hAnsi="Times New Roman"/>
                <w:sz w:val="22"/>
                <w:szCs w:val="22"/>
              </w:rPr>
              <w:t xml:space="preserve"> № 3 ПП РФ.</w:t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/>
            <w:tcW w:w="2092" w:type="dxa"/>
            <w:textDirection w:val="lrTb"/>
            <w:noWrap w:val="false"/>
          </w:tcPr>
          <w:p>
            <w:pPr>
              <w:pBdr/>
              <w:tabs>
                <w:tab w:val="left" w:leader="none" w:pos="618"/>
              </w:tabs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>
              <w:rPr>
                <w:rStyle w:val="787"/>
                <w:rFonts w:ascii="Times New Roman" w:hAnsi="Times New Roman"/>
                <w:color w:val="ff0000"/>
                <w:sz w:val="22"/>
                <w:szCs w:val="22"/>
              </w:rPr>
              <w:t xml:space="preserve">Не установлено</w:t>
            </w:r>
            <w:r>
              <w:rPr>
                <w:b/>
                <w:sz w:val="22"/>
                <w:szCs w:val="22"/>
              </w:rPr>
            </w:r>
          </w:p>
        </w:tc>
      </w:tr>
    </w:tbl>
    <w:p>
      <w:pPr>
        <w:pBdr/>
        <w:tabs>
          <w:tab w:val="left" w:leader="none" w:pos="618"/>
        </w:tabs>
        <w:spacing w:line="240" w:lineRule="auto"/>
        <w:ind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Bdr/>
        <w:spacing w:line="240" w:lineRule="auto"/>
        <w:ind w:firstLine="709"/>
        <w:rPr>
          <w:rStyle w:val="787"/>
          <w:rFonts w:ascii="Times New Roman" w:hAnsi="Times New Roman"/>
          <w:b/>
          <w:bCs/>
          <w:sz w:val="22"/>
          <w:szCs w:val="22"/>
        </w:rPr>
      </w:pPr>
      <w:r>
        <w:rPr>
          <w:rStyle w:val="787"/>
          <w:rFonts w:ascii="Times New Roman" w:hAnsi="Times New Roman"/>
          <w:b/>
          <w:bCs/>
          <w:sz w:val="22"/>
          <w:szCs w:val="22"/>
        </w:rPr>
        <w:t xml:space="preserve">Информацией и документами</w:t>
      </w:r>
      <w:r>
        <w:rPr>
          <w:rStyle w:val="787"/>
          <w:rFonts w:ascii="Times New Roman" w:hAnsi="Times New Roman"/>
          <w:sz w:val="22"/>
          <w:szCs w:val="22"/>
        </w:rPr>
        <w:t xml:space="preserve">, подтверждающими страну происхождения товара в целях учета объема закупок товаров российского происхождения, является:</w:t>
      </w:r>
      <w:r>
        <w:rPr>
          <w:rStyle w:val="787"/>
          <w:rFonts w:ascii="Times New Roman" w:hAnsi="Times New Roman"/>
          <w:b/>
          <w:bCs/>
          <w:sz w:val="22"/>
          <w:szCs w:val="22"/>
        </w:rPr>
      </w:r>
    </w:p>
    <w:tbl>
      <w:tblPr>
        <w:tblStyle w:val="731"/>
        <w:tblW w:w="0" w:type="auto"/>
        <w:tblBorders/>
        <w:tblLook w:val="04A0" w:firstRow="1" w:lastRow="0" w:firstColumn="1" w:lastColumn="0" w:noHBand="0" w:noVBand="1"/>
      </w:tblPr>
      <w:tblGrid>
        <w:gridCol w:w="4735"/>
        <w:gridCol w:w="4836"/>
      </w:tblGrid>
      <w:tr>
        <w:trPr/>
        <w:tc>
          <w:tcPr>
            <w:tcBorders/>
            <w:tcW w:w="4735" w:type="dxa"/>
            <w:textDirection w:val="lrTb"/>
            <w:noWrap w:val="false"/>
          </w:tcPr>
          <w:p>
            <w:pPr>
              <w:pStyle w:val="785"/>
              <w:pBdr/>
              <w:spacing w:line="240" w:lineRule="auto"/>
              <w:ind w:firstLine="0" w:left="0"/>
              <w:rPr>
                <w:rStyle w:val="787"/>
                <w:rFonts w:ascii="Times New Roman" w:hAnsi="Times New Roman"/>
                <w:sz w:val="22"/>
                <w:szCs w:val="22"/>
              </w:rPr>
            </w:pPr>
            <w:r>
              <w:rPr>
                <w:rStyle w:val="787"/>
                <w:rFonts w:ascii="Segoe UI Symbol" w:hAnsi="Segoe UI Symbol" w:cs="Segoe UI Symbol"/>
                <w:sz w:val="22"/>
                <w:szCs w:val="22"/>
              </w:rPr>
              <w:t xml:space="preserve">☐</w:t>
            </w:r>
            <w:r>
              <w:rPr>
                <w:rStyle w:val="787"/>
                <w:rFonts w:ascii="Times New Roman" w:hAnsi="Times New Roman"/>
                <w:sz w:val="22"/>
                <w:szCs w:val="22"/>
              </w:rPr>
              <w:t xml:space="preserve"> номер реестровой записи</w:t>
            </w:r>
            <w:r>
              <w:rPr>
                <w:rStyle w:val="787"/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Borders/>
            <w:tcW w:w="4836" w:type="dxa"/>
            <w:textDirection w:val="lrTb"/>
            <w:noWrap w:val="false"/>
          </w:tcPr>
          <w:p>
            <w:pPr>
              <w:pStyle w:val="785"/>
              <w:pBdr/>
              <w:spacing w:line="240" w:lineRule="auto"/>
              <w:ind w:firstLine="0" w:left="0"/>
              <w:rPr>
                <w:rStyle w:val="787"/>
                <w:rFonts w:ascii="Times New Roman" w:hAnsi="Times New Roman"/>
                <w:sz w:val="22"/>
                <w:szCs w:val="22"/>
              </w:rPr>
            </w:pPr>
            <w:r>
              <w:rPr>
                <w:rStyle w:val="787"/>
                <w:rFonts w:ascii="Segoe UI Symbol" w:hAnsi="Segoe UI Symbol" w:cs="Segoe UI Symbol"/>
                <w:sz w:val="22"/>
                <w:szCs w:val="22"/>
              </w:rPr>
              <w:t xml:space="preserve">☐</w:t>
            </w:r>
            <w:r>
              <w:rPr>
                <w:rStyle w:val="787"/>
                <w:rFonts w:ascii="Times New Roman" w:hAnsi="Times New Roman"/>
                <w:sz w:val="22"/>
                <w:szCs w:val="22"/>
              </w:rPr>
              <w:t xml:space="preserve"> из российского (евразийского) реестра промышленной продукции</w:t>
            </w:r>
            <w:r>
              <w:rPr>
                <w:rStyle w:val="787"/>
                <w:rFonts w:ascii="Times New Roman" w:hAnsi="Times New Roman"/>
                <w:sz w:val="22"/>
                <w:szCs w:val="22"/>
              </w:rPr>
            </w:r>
          </w:p>
          <w:p>
            <w:pPr>
              <w:pBdr/>
              <w:spacing w:line="240" w:lineRule="auto"/>
              <w:ind w:firstLine="0"/>
              <w:rPr>
                <w:rStyle w:val="787"/>
                <w:rFonts w:ascii="Times New Roman" w:hAnsi="Times New Roman"/>
                <w:sz w:val="22"/>
                <w:szCs w:val="22"/>
              </w:rPr>
            </w:pPr>
            <w:r>
              <w:rPr>
                <w:rStyle w:val="787"/>
                <w:rFonts w:ascii="Segoe UI Symbol" w:hAnsi="Segoe UI Symbol" w:cs="Segoe UI Symbol"/>
                <w:sz w:val="22"/>
                <w:szCs w:val="22"/>
              </w:rPr>
              <w:t xml:space="preserve">☐</w:t>
            </w:r>
            <w:r>
              <w:rPr>
                <w:rStyle w:val="787"/>
                <w:rFonts w:ascii="Times New Roman" w:hAnsi="Times New Roman"/>
                <w:sz w:val="22"/>
                <w:szCs w:val="22"/>
              </w:rPr>
              <w:t xml:space="preserve"> из реестра российского (евразийского) программного обеспечения</w:t>
            </w:r>
            <w:r>
              <w:rPr>
                <w:rStyle w:val="787"/>
                <w:rFonts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Borders/>
            <w:tcW w:w="4735" w:type="dxa"/>
            <w:textDirection w:val="lrTb"/>
            <w:noWrap w:val="false"/>
          </w:tcPr>
          <w:p>
            <w:pPr>
              <w:pBdr/>
              <w:spacing w:line="240" w:lineRule="auto"/>
              <w:ind w:firstLine="0"/>
              <w:rPr>
                <w:rStyle w:val="787"/>
                <w:rFonts w:ascii="Times New Roman" w:hAnsi="Times New Roman"/>
                <w:sz w:val="22"/>
                <w:szCs w:val="22"/>
              </w:rPr>
            </w:pPr>
            <w:r>
              <w:rPr>
                <w:rStyle w:val="787"/>
                <w:rFonts w:ascii="Segoe UI Symbol" w:hAnsi="Segoe UI Symbol" w:cs="Segoe UI Symbol"/>
                <w:sz w:val="22"/>
                <w:szCs w:val="22"/>
              </w:rPr>
              <w:t xml:space="preserve">☐</w:t>
            </w:r>
            <w:r>
              <w:rPr>
                <w:rStyle w:val="787"/>
                <w:rFonts w:ascii="Times New Roman" w:hAnsi="Times New Roman"/>
                <w:sz w:val="22"/>
                <w:szCs w:val="22"/>
              </w:rPr>
              <w:t xml:space="preserve"> наименование страны происхождения</w:t>
            </w:r>
            <w:r>
              <w:rPr>
                <w:rStyle w:val="787"/>
                <w:rFonts w:ascii="Times New Roman" w:hAnsi="Times New Roman"/>
                <w:sz w:val="22"/>
                <w:szCs w:val="22"/>
              </w:rPr>
            </w:r>
          </w:p>
          <w:p>
            <w:pPr>
              <w:pBdr/>
              <w:spacing w:line="240" w:lineRule="auto"/>
              <w:ind w:firstLine="0"/>
              <w:rPr>
                <w:rStyle w:val="787"/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Style w:val="787"/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Borders/>
            <w:tcW w:w="4836" w:type="dxa"/>
            <w:textDirection w:val="lrTb"/>
            <w:noWrap w:val="false"/>
          </w:tcPr>
          <w:p>
            <w:pPr>
              <w:pBdr/>
              <w:spacing w:line="240" w:lineRule="auto"/>
              <w:ind w:firstLine="0"/>
              <w:rPr>
                <w:rStyle w:val="787"/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Style w:val="787"/>
                <w:rFonts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Borders/>
            <w:tcW w:w="4735" w:type="dxa"/>
            <w:textDirection w:val="lrTb"/>
            <w:noWrap w:val="false"/>
          </w:tcPr>
          <w:p>
            <w:pPr>
              <w:pBdr/>
              <w:spacing w:line="240" w:lineRule="auto"/>
              <w:ind w:firstLine="0"/>
              <w:rPr>
                <w:rStyle w:val="787"/>
                <w:rFonts w:ascii="Times New Roman" w:hAnsi="Times New Roman"/>
                <w:sz w:val="22"/>
                <w:szCs w:val="22"/>
              </w:rPr>
            </w:pPr>
            <w:r>
              <w:rPr>
                <w:rStyle w:val="787"/>
                <w:rFonts w:ascii="Segoe UI Symbol" w:hAnsi="Segoe UI Symbol" w:cs="Segoe UI Symbol"/>
                <w:sz w:val="22"/>
                <w:szCs w:val="22"/>
              </w:rPr>
              <w:t xml:space="preserve">☐</w:t>
            </w:r>
            <w:r>
              <w:rPr>
                <w:rStyle w:val="787"/>
                <w:rFonts w:ascii="Times New Roman" w:hAnsi="Times New Roman"/>
                <w:sz w:val="22"/>
                <w:szCs w:val="22"/>
              </w:rPr>
              <w:t xml:space="preserve"> акт экспертизы ТПП РФ или аналогичный документ, выданный в ЕАЭС</w:t>
            </w:r>
            <w:r>
              <w:rPr>
                <w:rStyle w:val="787"/>
                <w:rFonts w:ascii="Times New Roman" w:hAnsi="Times New Roman"/>
                <w:sz w:val="22"/>
                <w:szCs w:val="22"/>
              </w:rPr>
            </w:r>
          </w:p>
          <w:p>
            <w:pPr>
              <w:pBdr/>
              <w:spacing w:line="240" w:lineRule="auto"/>
              <w:ind w:firstLine="0"/>
              <w:rPr>
                <w:rStyle w:val="787"/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Style w:val="787"/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Borders/>
            <w:tcW w:w="4836" w:type="dxa"/>
            <w:textDirection w:val="lrTb"/>
            <w:noWrap w:val="false"/>
          </w:tcPr>
          <w:p>
            <w:pPr>
              <w:pBdr/>
              <w:spacing w:line="240" w:lineRule="auto"/>
              <w:ind w:firstLine="0"/>
              <w:rPr>
                <w:rStyle w:val="787"/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Style w:val="787"/>
                <w:rFonts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Borders/>
            <w:tcW w:w="4735" w:type="dxa"/>
            <w:textDirection w:val="lrTb"/>
            <w:noWrap w:val="false"/>
          </w:tcPr>
          <w:p>
            <w:pPr>
              <w:pBdr/>
              <w:spacing w:line="240" w:lineRule="auto"/>
              <w:ind w:firstLine="0"/>
              <w:rPr>
                <w:rStyle w:val="787"/>
                <w:rFonts w:ascii="Times New Roman" w:hAnsi="Times New Roman"/>
                <w:sz w:val="22"/>
                <w:szCs w:val="22"/>
              </w:rPr>
            </w:pPr>
            <w:r>
              <w:rPr>
                <w:rStyle w:val="787"/>
                <w:rFonts w:ascii="Segoe UI Symbol" w:hAnsi="Segoe UI Symbol" w:cs="Segoe UI Symbol"/>
                <w:sz w:val="22"/>
                <w:szCs w:val="22"/>
              </w:rPr>
              <w:t xml:space="preserve">☐</w:t>
            </w:r>
            <w:r>
              <w:rPr>
                <w:rStyle w:val="787"/>
                <w:rFonts w:ascii="Times New Roman" w:hAnsi="Times New Roman"/>
                <w:sz w:val="22"/>
                <w:szCs w:val="22"/>
              </w:rPr>
              <w:t xml:space="preserve"> сертификат о происхождении товара (СТ-1)</w:t>
            </w:r>
            <w:r>
              <w:rPr>
                <w:rStyle w:val="787"/>
                <w:rFonts w:ascii="Times New Roman" w:hAnsi="Times New Roman"/>
                <w:sz w:val="22"/>
                <w:szCs w:val="22"/>
              </w:rPr>
            </w:r>
          </w:p>
          <w:p>
            <w:pPr>
              <w:pBdr/>
              <w:spacing w:line="240" w:lineRule="auto"/>
              <w:ind w:firstLine="0"/>
              <w:rPr>
                <w:rStyle w:val="787"/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Style w:val="787"/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Borders/>
            <w:tcW w:w="4836" w:type="dxa"/>
            <w:textDirection w:val="lrTb"/>
            <w:noWrap w:val="false"/>
          </w:tcPr>
          <w:p>
            <w:pPr>
              <w:pBdr/>
              <w:spacing w:line="240" w:lineRule="auto"/>
              <w:ind w:firstLine="0"/>
              <w:rPr>
                <w:rStyle w:val="787"/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Style w:val="787"/>
                <w:rFonts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Borders/>
            <w:tcW w:w="4735" w:type="dxa"/>
            <w:textDirection w:val="lrTb"/>
            <w:noWrap w:val="false"/>
          </w:tcPr>
          <w:p>
            <w:pPr>
              <w:pBdr/>
              <w:spacing w:line="240" w:lineRule="auto"/>
              <w:ind w:firstLine="0"/>
              <w:rPr>
                <w:rStyle w:val="787"/>
                <w:rFonts w:ascii="Times New Roman" w:hAnsi="Times New Roman"/>
                <w:sz w:val="22"/>
                <w:szCs w:val="22"/>
              </w:rPr>
            </w:pPr>
            <w:r>
              <w:rPr>
                <w:rStyle w:val="787"/>
                <w:rFonts w:ascii="Segoe UI Symbol" w:hAnsi="Segoe UI Symbol" w:cs="Segoe UI Symbol"/>
                <w:sz w:val="22"/>
                <w:szCs w:val="22"/>
              </w:rPr>
              <w:t xml:space="preserve">☐</w:t>
            </w:r>
            <w:r>
              <w:rPr>
                <w:rStyle w:val="787"/>
                <w:rFonts w:ascii="Times New Roman" w:hAnsi="Times New Roman"/>
                <w:sz w:val="22"/>
                <w:szCs w:val="22"/>
              </w:rPr>
              <w:t xml:space="preserve"> реквизиты (дата и номер) документа о соответствии производства </w:t>
            </w:r>
            <w:r>
              <w:rPr>
                <w:rStyle w:val="787"/>
                <w:rFonts w:ascii="Times New Roman" w:hAnsi="Times New Roman"/>
                <w:sz w:val="22"/>
                <w:szCs w:val="22"/>
              </w:rPr>
              <w:t xml:space="preserve">медизделий</w:t>
            </w:r>
            <w:r>
              <w:rPr>
                <w:rStyle w:val="787"/>
                <w:rFonts w:ascii="Times New Roman" w:hAnsi="Times New Roman"/>
                <w:sz w:val="22"/>
                <w:szCs w:val="22"/>
              </w:rPr>
              <w:t xml:space="preserve"> требованиям ГОСТ ISO 13485-2017</w:t>
            </w:r>
            <w:r>
              <w:rPr>
                <w:rStyle w:val="787"/>
                <w:rFonts w:ascii="Times New Roman" w:hAnsi="Times New Roman"/>
                <w:sz w:val="22"/>
                <w:szCs w:val="22"/>
              </w:rPr>
            </w:r>
          </w:p>
          <w:p>
            <w:pPr>
              <w:pBdr/>
              <w:spacing w:line="240" w:lineRule="auto"/>
              <w:ind w:firstLine="0"/>
              <w:rPr>
                <w:rStyle w:val="787"/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Style w:val="787"/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Borders/>
            <w:tcW w:w="4836" w:type="dxa"/>
            <w:textDirection w:val="lrTb"/>
            <w:noWrap w:val="false"/>
          </w:tcPr>
          <w:p>
            <w:pPr>
              <w:pBdr/>
              <w:spacing w:line="240" w:lineRule="auto"/>
              <w:ind w:firstLine="0"/>
              <w:rPr>
                <w:rStyle w:val="787"/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  <w:bookmarkEnd w:id="8"/>
            <w:r>
              <w:rPr>
                <w:rStyle w:val="787"/>
                <w:rFonts w:ascii="Times New Roman" w:hAnsi="Times New Roman"/>
                <w:sz w:val="22"/>
                <w:szCs w:val="22"/>
              </w:rPr>
            </w:r>
          </w:p>
        </w:tc>
      </w:tr>
    </w:tbl>
    <w:p>
      <w:pPr>
        <w:widowControl w:val="false"/>
        <w:pBdr/>
        <w:spacing w:line="240" w:lineRule="auto"/>
        <w:ind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  <w:bookmarkEnd w:id="9"/>
      <w:bookmarkEnd w:id="10"/>
      <w:r>
        <w:rPr>
          <w:b/>
          <w:bCs/>
          <w:sz w:val="22"/>
          <w:szCs w:val="22"/>
        </w:rPr>
      </w:r>
    </w:p>
    <w:p>
      <w:pPr>
        <w:widowControl w:val="false"/>
        <w:pBdr/>
        <w:spacing w:line="240" w:lineRule="auto"/>
        <w:ind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15.  Рассмотрение и оценка котировочных заявок. Срок и порядок заключения договора.</w:t>
      </w:r>
      <w:r>
        <w:rPr>
          <w:b/>
          <w:bCs/>
          <w:sz w:val="22"/>
          <w:szCs w:val="22"/>
        </w:rPr>
      </w:r>
    </w:p>
    <w:p>
      <w:pPr>
        <w:pBdr/>
        <w:spacing w:line="240" w:lineRule="auto"/>
        <w:ind w:firstLine="709"/>
        <w:rPr>
          <w:rStyle w:val="787"/>
          <w:rFonts w:ascii="Times New Roman" w:hAnsi="Times New Roman"/>
          <w:sz w:val="22"/>
          <w:szCs w:val="22"/>
        </w:rPr>
      </w:pPr>
      <w:r>
        <w:rPr>
          <w:rStyle w:val="787"/>
          <w:rFonts w:ascii="Times New Roman" w:hAnsi="Times New Roman"/>
          <w:sz w:val="22"/>
          <w:szCs w:val="22"/>
        </w:rPr>
        <w:t xml:space="preserve">15.1. Коми</w:t>
      </w:r>
      <w:r>
        <w:rPr>
          <w:rStyle w:val="787"/>
          <w:rFonts w:ascii="Times New Roman" w:hAnsi="Times New Roman"/>
          <w:sz w:val="22"/>
          <w:szCs w:val="22"/>
        </w:rPr>
        <w:t xml:space="preserve">ссия в течение одного рабочего дня, следующего за днем окончания срока подачи котировочных заявок, рассматривает котировочные заявки на соответствие их требованиям, установленным в извещении о проведении запроса котировок, и оценивает котировочные заявки. </w:t>
      </w:r>
      <w:r>
        <w:rPr>
          <w:rStyle w:val="787"/>
          <w:rFonts w:ascii="Times New Roman" w:hAnsi="Times New Roman"/>
          <w:sz w:val="22"/>
          <w:szCs w:val="22"/>
        </w:rPr>
      </w:r>
    </w:p>
    <w:p>
      <w:pPr>
        <w:pBdr/>
        <w:spacing w:line="240" w:lineRule="auto"/>
        <w:ind w:firstLine="709"/>
        <w:rPr/>
      </w:pPr>
      <w:r>
        <w:rPr>
          <w:rStyle w:val="787"/>
          <w:rFonts w:ascii="Times New Roman" w:hAnsi="Times New Roman"/>
          <w:sz w:val="22"/>
          <w:szCs w:val="22"/>
        </w:rPr>
        <w:t xml:space="preserve">15.2. Котировочная заявка будет отклонена от рассмотрения и оценки в следующих случаях:</w:t>
      </w:r>
      <w:r/>
    </w:p>
    <w:p>
      <w:pPr>
        <w:pBdr/>
        <w:spacing w:line="240" w:lineRule="auto"/>
        <w:ind w:firstLine="709"/>
        <w:rPr>
          <w:color w:val="000000"/>
          <w:sz w:val="22"/>
          <w:szCs w:val="22"/>
        </w:rPr>
      </w:pPr>
      <w:r>
        <w:rPr>
          <w:rStyle w:val="787"/>
          <w:rFonts w:ascii="Times New Roman" w:hAnsi="Times New Roman"/>
          <w:sz w:val="22"/>
          <w:szCs w:val="22"/>
        </w:rPr>
        <w:t xml:space="preserve">15.2.1. непредставления оригиналов и копий документов, а также иных сведений, требование о наличии которых установлено извещением о проведении запроса котировок;</w:t>
      </w:r>
      <w:r>
        <w:rPr>
          <w:rStyle w:val="787"/>
          <w:rFonts w:ascii="Times New Roman" w:hAnsi="Times New Roman"/>
          <w:sz w:val="22"/>
          <w:szCs w:val="22"/>
        </w:rPr>
        <w:tab/>
      </w:r>
      <w:r>
        <w:rPr>
          <w:color w:val="000000"/>
          <w:sz w:val="22"/>
          <w:szCs w:val="22"/>
        </w:rPr>
      </w:r>
    </w:p>
    <w:p>
      <w:pPr>
        <w:pBdr/>
        <w:spacing w:line="240" w:lineRule="auto"/>
        <w:ind w:firstLine="709"/>
        <w:rPr>
          <w:rStyle w:val="787"/>
          <w:rFonts w:ascii="Times New Roman" w:hAnsi="Times New Roman"/>
          <w:sz w:val="22"/>
          <w:szCs w:val="22"/>
        </w:rPr>
      </w:pPr>
      <w:r>
        <w:rPr>
          <w:rStyle w:val="787"/>
          <w:rFonts w:ascii="Times New Roman" w:hAnsi="Times New Roman"/>
          <w:sz w:val="22"/>
          <w:szCs w:val="22"/>
        </w:rPr>
        <w:t xml:space="preserve">15.2.2. несоответствия участника закупки требованиям к участникам закупки, установленным извещением о проведении запроса котировок; </w:t>
      </w:r>
      <w:r>
        <w:rPr>
          <w:rStyle w:val="787"/>
          <w:rFonts w:ascii="Times New Roman" w:hAnsi="Times New Roman"/>
          <w:sz w:val="22"/>
          <w:szCs w:val="22"/>
        </w:rPr>
        <w:tab/>
      </w:r>
      <w:r>
        <w:rPr>
          <w:rStyle w:val="787"/>
          <w:rFonts w:ascii="Times New Roman" w:hAnsi="Times New Roman"/>
          <w:sz w:val="22"/>
          <w:szCs w:val="22"/>
        </w:rPr>
      </w:r>
    </w:p>
    <w:p>
      <w:pPr>
        <w:pBdr/>
        <w:spacing w:line="240" w:lineRule="auto"/>
        <w:ind w:firstLine="709"/>
        <w:rPr>
          <w:rStyle w:val="787"/>
          <w:rFonts w:ascii="Times New Roman" w:hAnsi="Times New Roman"/>
          <w:sz w:val="22"/>
          <w:szCs w:val="22"/>
        </w:rPr>
      </w:pPr>
      <w:r>
        <w:rPr>
          <w:rStyle w:val="787"/>
          <w:rFonts w:ascii="Times New Roman" w:hAnsi="Times New Roman"/>
          <w:sz w:val="22"/>
          <w:szCs w:val="22"/>
        </w:rPr>
        <w:t xml:space="preserve">15.2.3. несоответствия котировочной заявки требованиям, установленным извещением о проведении запроса котировок; </w:t>
      </w:r>
      <w:r>
        <w:rPr>
          <w:rStyle w:val="787"/>
          <w:rFonts w:ascii="Times New Roman" w:hAnsi="Times New Roman"/>
          <w:sz w:val="22"/>
          <w:szCs w:val="22"/>
        </w:rPr>
      </w:r>
    </w:p>
    <w:p>
      <w:pPr>
        <w:pBdr/>
        <w:spacing w:line="240" w:lineRule="auto"/>
        <w:ind w:firstLine="709"/>
        <w:rPr>
          <w:rStyle w:val="787"/>
          <w:rFonts w:ascii="Times New Roman" w:hAnsi="Times New Roman"/>
          <w:sz w:val="22"/>
          <w:szCs w:val="22"/>
        </w:rPr>
      </w:pPr>
      <w:r>
        <w:rPr>
          <w:rStyle w:val="787"/>
          <w:rFonts w:ascii="Times New Roman" w:hAnsi="Times New Roman"/>
          <w:sz w:val="22"/>
          <w:szCs w:val="22"/>
        </w:rPr>
        <w:t xml:space="preserve">15.2.4. несоответствия предлагаемых товаров, работ, услуг требованиям, установленным:</w:t>
      </w:r>
      <w:r>
        <w:rPr>
          <w:rStyle w:val="787"/>
          <w:rFonts w:ascii="Times New Roman" w:hAnsi="Times New Roman"/>
          <w:sz w:val="22"/>
          <w:szCs w:val="22"/>
        </w:rPr>
      </w:r>
    </w:p>
    <w:p>
      <w:pPr>
        <w:pBdr/>
        <w:spacing w:line="240" w:lineRule="auto"/>
        <w:ind w:firstLine="709"/>
        <w:rPr>
          <w:rStyle w:val="787"/>
          <w:rFonts w:ascii="Times New Roman" w:hAnsi="Times New Roman"/>
          <w:sz w:val="22"/>
          <w:szCs w:val="22"/>
        </w:rPr>
      </w:pPr>
      <w:r>
        <w:rPr>
          <w:rStyle w:val="787"/>
          <w:rFonts w:ascii="Times New Roman" w:hAnsi="Times New Roman"/>
          <w:sz w:val="22"/>
          <w:szCs w:val="22"/>
        </w:rPr>
        <w:t xml:space="preserve">- в извещении о проведении запроса котировок;</w:t>
      </w:r>
      <w:r>
        <w:rPr>
          <w:rStyle w:val="787"/>
          <w:rFonts w:ascii="Times New Roman" w:hAnsi="Times New Roman"/>
          <w:sz w:val="22"/>
          <w:szCs w:val="22"/>
        </w:rPr>
      </w:r>
    </w:p>
    <w:p>
      <w:pPr>
        <w:pBdr/>
        <w:spacing w:line="240" w:lineRule="auto"/>
        <w:ind w:firstLine="709"/>
        <w:rPr>
          <w:rStyle w:val="787"/>
          <w:rFonts w:ascii="Times New Roman" w:hAnsi="Times New Roman"/>
          <w:sz w:val="22"/>
          <w:szCs w:val="22"/>
        </w:rPr>
      </w:pPr>
      <w:r>
        <w:rPr>
          <w:rStyle w:val="787"/>
          <w:rFonts w:ascii="Times New Roman" w:hAnsi="Times New Roman"/>
          <w:sz w:val="22"/>
          <w:szCs w:val="22"/>
        </w:rPr>
        <w:t xml:space="preserve">- в техническом задании</w:t>
      </w:r>
      <w:r>
        <w:rPr>
          <w:sz w:val="22"/>
          <w:szCs w:val="22"/>
        </w:rPr>
        <w:t xml:space="preserve"> (</w:t>
      </w:r>
      <w:r>
        <w:rPr>
          <w:color w:val="000000"/>
          <w:sz w:val="22"/>
          <w:szCs w:val="22"/>
        </w:rPr>
        <w:t xml:space="preserve">ч</w:t>
      </w:r>
      <w:r>
        <w:rPr>
          <w:color w:val="000000"/>
          <w:sz w:val="22"/>
          <w:szCs w:val="22"/>
        </w:rPr>
        <w:t xml:space="preserve">. 4 извещения о проведении запроса котировок)</w:t>
      </w:r>
      <w:r>
        <w:rPr>
          <w:rStyle w:val="787"/>
          <w:rFonts w:ascii="Times New Roman" w:hAnsi="Times New Roman"/>
          <w:sz w:val="22"/>
          <w:szCs w:val="22"/>
        </w:rPr>
        <w:t xml:space="preserve">; </w:t>
      </w:r>
      <w:r>
        <w:rPr>
          <w:rStyle w:val="787"/>
          <w:rFonts w:ascii="Times New Roman" w:hAnsi="Times New Roman"/>
          <w:sz w:val="22"/>
          <w:szCs w:val="22"/>
        </w:rPr>
      </w:r>
    </w:p>
    <w:p>
      <w:pPr>
        <w:pBdr/>
        <w:spacing w:line="240" w:lineRule="auto"/>
        <w:ind w:firstLine="709"/>
        <w:rPr>
          <w:rStyle w:val="787"/>
          <w:rFonts w:ascii="Times New Roman" w:hAnsi="Times New Roman"/>
          <w:sz w:val="22"/>
          <w:szCs w:val="22"/>
        </w:rPr>
      </w:pPr>
      <w:r>
        <w:rPr>
          <w:rStyle w:val="787"/>
          <w:rFonts w:ascii="Times New Roman" w:hAnsi="Times New Roman"/>
          <w:sz w:val="22"/>
          <w:szCs w:val="22"/>
        </w:rPr>
        <w:t xml:space="preserve">15.2.5. предоставления в составе котировочной заявки заведомо ложных сведений, намеренного искажения информации или документов, входящих в состав заявки</w:t>
      </w:r>
      <w:r>
        <w:rPr>
          <w:rStyle w:val="787"/>
          <w:rFonts w:ascii="Times New Roman" w:hAnsi="Times New Roman"/>
          <w:sz w:val="22"/>
          <w:szCs w:val="22"/>
        </w:rPr>
        <w:t xml:space="preserve">;</w:t>
      </w:r>
      <w:r>
        <w:rPr>
          <w:rStyle w:val="787"/>
          <w:rFonts w:ascii="Times New Roman" w:hAnsi="Times New Roman"/>
          <w:sz w:val="22"/>
          <w:szCs w:val="22"/>
        </w:rPr>
      </w:r>
    </w:p>
    <w:p>
      <w:pPr>
        <w:pBdr/>
        <w:spacing w:line="240" w:lineRule="auto"/>
        <w:ind w:firstLine="709"/>
        <w:rPr>
          <w:rStyle w:val="787"/>
          <w:rFonts w:ascii="Times New Roman" w:hAnsi="Times New Roman"/>
          <w:sz w:val="22"/>
          <w:szCs w:val="22"/>
        </w:rPr>
      </w:pPr>
      <w:r>
        <w:rPr>
          <w:sz w:val="22"/>
          <w:szCs w:val="22"/>
        </w:rPr>
        <w:t xml:space="preserve">15.2.6. в случаях, установленных статьей </w:t>
      </w:r>
      <w:r>
        <w:rPr>
          <w:color w:val="000000"/>
          <w:sz w:val="22"/>
          <w:szCs w:val="22"/>
        </w:rPr>
        <w:t xml:space="preserve">3.1-4 Федерального закона </w:t>
      </w:r>
      <w:r>
        <w:rPr>
          <w:sz w:val="22"/>
          <w:szCs w:val="22"/>
        </w:rPr>
        <w:t xml:space="preserve">№223-ФЗ (если применимо).</w:t>
      </w:r>
      <w:r>
        <w:rPr>
          <w:rStyle w:val="787"/>
          <w:rFonts w:ascii="Times New Roman" w:hAnsi="Times New Roman"/>
          <w:sz w:val="22"/>
          <w:szCs w:val="22"/>
        </w:rPr>
      </w:r>
    </w:p>
    <w:p>
      <w:pPr>
        <w:pBdr/>
        <w:spacing w:line="240" w:lineRule="auto"/>
        <w:ind w:firstLine="709"/>
        <w:rPr>
          <w:rStyle w:val="787"/>
          <w:rFonts w:ascii="Times New Roman" w:hAnsi="Times New Roman"/>
          <w:sz w:val="22"/>
          <w:szCs w:val="22"/>
        </w:rPr>
      </w:pPr>
      <w:r>
        <w:rPr>
          <w:rStyle w:val="787"/>
          <w:rFonts w:ascii="Times New Roman" w:hAnsi="Times New Roman"/>
          <w:sz w:val="22"/>
          <w:szCs w:val="22"/>
        </w:rPr>
        <w:t xml:space="preserve">15.3. Отклонение заявки по иным основаниям, кроме предусмотренных пунктом 15.2 настоящего</w:t>
      </w:r>
      <w:r>
        <w:rPr>
          <w:color w:val="000000"/>
          <w:sz w:val="22"/>
          <w:szCs w:val="22"/>
        </w:rPr>
        <w:t xml:space="preserve"> извещения</w:t>
      </w:r>
      <w:r>
        <w:rPr>
          <w:rStyle w:val="787"/>
          <w:rFonts w:ascii="Times New Roman" w:hAnsi="Times New Roman"/>
          <w:sz w:val="22"/>
          <w:szCs w:val="22"/>
        </w:rPr>
        <w:t xml:space="preserve"> случаев, не допускается. </w:t>
      </w:r>
      <w:r>
        <w:rPr>
          <w:rStyle w:val="787"/>
          <w:rFonts w:ascii="Times New Roman" w:hAnsi="Times New Roman"/>
          <w:sz w:val="22"/>
          <w:szCs w:val="22"/>
        </w:rPr>
      </w:r>
    </w:p>
    <w:p>
      <w:pPr>
        <w:pBdr/>
        <w:spacing w:line="240" w:lineRule="auto"/>
        <w:ind w:firstLine="709"/>
        <w:rPr>
          <w:rStyle w:val="787"/>
          <w:rFonts w:ascii="Times New Roman" w:hAnsi="Times New Roman"/>
          <w:sz w:val="22"/>
          <w:szCs w:val="22"/>
        </w:rPr>
      </w:pPr>
      <w:r>
        <w:rPr>
          <w:rStyle w:val="787"/>
          <w:rFonts w:ascii="Times New Roman" w:hAnsi="Times New Roman"/>
          <w:sz w:val="22"/>
          <w:szCs w:val="22"/>
        </w:rPr>
        <w:t xml:space="preserve">15.4. В случае если при проведении рассмотрения и оценки </w:t>
      </w:r>
      <w:r>
        <w:rPr>
          <w:rStyle w:val="787"/>
          <w:rFonts w:ascii="Times New Roman" w:hAnsi="Times New Roman"/>
          <w:sz w:val="22"/>
          <w:szCs w:val="22"/>
        </w:rPr>
        <w:t xml:space="preserve">котировочная заявка только одного участника признана соответствующей требованиям документации о проведении запроса котировок, такой участник считается единственным участником запроса котировок. Заказчик заключит договор с участником закупки, подавшим такую</w:t>
      </w:r>
      <w:r>
        <w:rPr>
          <w:color w:val="000000"/>
          <w:sz w:val="22"/>
          <w:szCs w:val="22"/>
        </w:rPr>
        <w:t xml:space="preserve"> </w:t>
      </w:r>
      <w:r>
        <w:rPr>
          <w:rStyle w:val="787"/>
          <w:rFonts w:ascii="Times New Roman" w:hAnsi="Times New Roman"/>
          <w:sz w:val="22"/>
          <w:szCs w:val="22"/>
        </w:rPr>
        <w:t xml:space="preserve">заявку на условиях, установленных в извещении о проведении запроса котировок, проекта договора и заявки, поданной участником. Такой участник не вправе отказаться от заключения договора с заказчиком.</w:t>
      </w:r>
      <w:r>
        <w:rPr>
          <w:rStyle w:val="787"/>
          <w:rFonts w:ascii="Times New Roman" w:hAnsi="Times New Roman"/>
          <w:sz w:val="22"/>
          <w:szCs w:val="22"/>
        </w:rPr>
      </w:r>
    </w:p>
    <w:p>
      <w:pPr>
        <w:pBdr/>
        <w:spacing w:line="240" w:lineRule="auto"/>
        <w:ind w:firstLine="709"/>
        <w:rPr/>
      </w:pPr>
      <w:r>
        <w:rPr>
          <w:rStyle w:val="787"/>
          <w:rFonts w:ascii="Times New Roman" w:hAnsi="Times New Roman"/>
          <w:sz w:val="22"/>
          <w:szCs w:val="22"/>
        </w:rPr>
        <w:t xml:space="preserve">15.4.1. В случае если при проведении рассмотрения и оценки были признаны несоответствующими</w:t>
      </w:r>
      <w:r>
        <w:rPr>
          <w:color w:val="000000"/>
          <w:sz w:val="22"/>
          <w:szCs w:val="22"/>
        </w:rPr>
        <w:t xml:space="preserve"> </w:t>
      </w:r>
      <w:r>
        <w:rPr>
          <w:rStyle w:val="787"/>
          <w:rFonts w:ascii="Times New Roman" w:hAnsi="Times New Roman"/>
          <w:sz w:val="22"/>
          <w:szCs w:val="22"/>
        </w:rPr>
        <w:t xml:space="preserve">требованиям, установленным в извещении о проведении запроса котировок все котировочные заявки, или заявка только одного участника признана соответствующей требованиям, установленным в извещении, запрос котировок</w:t>
      </w:r>
      <w:r>
        <w:rPr>
          <w:color w:val="000000"/>
          <w:sz w:val="22"/>
          <w:szCs w:val="22"/>
        </w:rPr>
        <w:t xml:space="preserve"> </w:t>
      </w:r>
      <w:r>
        <w:rPr>
          <w:rStyle w:val="787"/>
          <w:rFonts w:ascii="Times New Roman" w:hAnsi="Times New Roman"/>
          <w:sz w:val="22"/>
          <w:szCs w:val="22"/>
        </w:rPr>
        <w:t xml:space="preserve">признается несостоявшимся. Эта информация вносится в протокол о результатах закупки.</w:t>
      </w:r>
      <w:r/>
    </w:p>
    <w:p>
      <w:pPr>
        <w:pBdr/>
        <w:spacing w:line="240" w:lineRule="auto"/>
        <w:ind w:firstLine="709"/>
        <w:rPr>
          <w:rStyle w:val="787"/>
          <w:rFonts w:ascii="Times New Roman" w:hAnsi="Times New Roman"/>
          <w:sz w:val="22"/>
          <w:szCs w:val="22"/>
        </w:rPr>
      </w:pPr>
      <w:r>
        <w:rPr>
          <w:rStyle w:val="787"/>
          <w:rFonts w:ascii="Times New Roman" w:hAnsi="Times New Roman"/>
          <w:sz w:val="22"/>
          <w:szCs w:val="22"/>
        </w:rPr>
        <w:t xml:space="preserve">15.5. Поб</w:t>
      </w:r>
      <w:r>
        <w:rPr>
          <w:rStyle w:val="787"/>
          <w:rFonts w:ascii="Times New Roman" w:hAnsi="Times New Roman"/>
          <w:sz w:val="22"/>
          <w:szCs w:val="22"/>
        </w:rPr>
        <w:t xml:space="preserve">едителем в проведении запроса котировок признается участник закупки, соответствующий требованиям, установленным в извещении о проведении запроса котировок, подавший котировочную заявку, которая отвечает всем требованиям, установленным в таком извещении, и </w:t>
      </w:r>
      <w:r>
        <w:rPr>
          <w:rStyle w:val="787"/>
          <w:rFonts w:ascii="Times New Roman" w:hAnsi="Times New Roman"/>
          <w:sz w:val="22"/>
          <w:szCs w:val="22"/>
        </w:rPr>
        <w:t xml:space="preserve">в</w:t>
      </w:r>
      <w:r>
        <w:rPr>
          <w:rStyle w:val="787"/>
          <w:rFonts w:ascii="Times New Roman" w:hAnsi="Times New Roman"/>
          <w:sz w:val="22"/>
          <w:szCs w:val="22"/>
        </w:rPr>
        <w:t xml:space="preserve"> которой указана наиболее низкая цена</w:t>
      </w:r>
      <w:r>
        <w:rPr>
          <w:color w:val="000000"/>
          <w:sz w:val="22"/>
          <w:szCs w:val="22"/>
        </w:rPr>
        <w:t xml:space="preserve"> </w:t>
      </w:r>
      <w:r>
        <w:rPr>
          <w:rStyle w:val="787"/>
          <w:rFonts w:ascii="Times New Roman" w:hAnsi="Times New Roman"/>
          <w:sz w:val="22"/>
          <w:szCs w:val="22"/>
        </w:rPr>
        <w:t xml:space="preserve">товаров, работ, услуг. </w:t>
      </w:r>
      <w:r>
        <w:rPr>
          <w:rStyle w:val="787"/>
          <w:rFonts w:ascii="Times New Roman" w:hAnsi="Times New Roman"/>
          <w:sz w:val="22"/>
          <w:szCs w:val="22"/>
        </w:rPr>
      </w:r>
    </w:p>
    <w:p>
      <w:pPr>
        <w:pBdr/>
        <w:spacing w:line="240" w:lineRule="auto"/>
        <w:ind w:firstLine="709"/>
        <w:rPr>
          <w:rStyle w:val="787"/>
          <w:rFonts w:ascii="Times New Roman" w:hAnsi="Times New Roman"/>
          <w:sz w:val="22"/>
          <w:szCs w:val="22"/>
        </w:rPr>
      </w:pPr>
      <w:r>
        <w:rPr>
          <w:rStyle w:val="787"/>
          <w:rFonts w:ascii="Times New Roman" w:hAnsi="Times New Roman"/>
          <w:sz w:val="22"/>
          <w:szCs w:val="22"/>
        </w:rPr>
        <w:t xml:space="preserve">15.5.1. При предложении одинаковой цены товаров, работ, услуг несколькими</w:t>
      </w:r>
      <w:r>
        <w:rPr>
          <w:color w:val="000000"/>
          <w:sz w:val="22"/>
          <w:szCs w:val="22"/>
        </w:rPr>
        <w:t xml:space="preserve"> </w:t>
      </w:r>
      <w:r>
        <w:rPr>
          <w:rStyle w:val="787"/>
          <w:rFonts w:ascii="Times New Roman" w:hAnsi="Times New Roman"/>
          <w:sz w:val="22"/>
          <w:szCs w:val="22"/>
        </w:rPr>
        <w:t xml:space="preserve">участниками закупки победителем в проведении запроса котировок признается участник, котировочная заявка которого поступила ранее котировочных заявок других участников.</w:t>
      </w:r>
      <w:r>
        <w:rPr>
          <w:rStyle w:val="787"/>
          <w:rFonts w:ascii="Times New Roman" w:hAnsi="Times New Roman"/>
          <w:sz w:val="22"/>
          <w:szCs w:val="22"/>
        </w:rPr>
        <w:tab/>
      </w:r>
      <w:r>
        <w:rPr>
          <w:rStyle w:val="787"/>
          <w:rFonts w:ascii="Times New Roman" w:hAnsi="Times New Roman"/>
          <w:sz w:val="22"/>
          <w:szCs w:val="22"/>
        </w:rPr>
      </w:r>
    </w:p>
    <w:p>
      <w:pPr>
        <w:pBdr/>
        <w:spacing w:line="240" w:lineRule="auto"/>
        <w:ind w:firstLine="709"/>
        <w:rPr>
          <w:rStyle w:val="787"/>
          <w:rFonts w:ascii="Times New Roman" w:hAnsi="Times New Roman"/>
          <w:sz w:val="22"/>
          <w:szCs w:val="22"/>
        </w:rPr>
      </w:pPr>
      <w:r>
        <w:rPr>
          <w:rStyle w:val="787"/>
          <w:rFonts w:ascii="Times New Roman" w:hAnsi="Times New Roman"/>
          <w:sz w:val="22"/>
          <w:szCs w:val="22"/>
        </w:rPr>
        <w:t xml:space="preserve">15.5.2 Отсутствие</w:t>
      </w:r>
      <w:r>
        <w:rPr>
          <w:rStyle w:val="787"/>
          <w:rFonts w:ascii="Times New Roman" w:hAnsi="Times New Roman"/>
          <w:sz w:val="22"/>
          <w:szCs w:val="22"/>
        </w:rPr>
        <w:t xml:space="preserve"> в заявке на участие в закупке указания (декларирования) страны происхождения поставляемого товара не является основанием для отклонения заявки на участие в закупке, и такая заявка рассматривается как содержащая предложение о поставке иностранных товаров. </w:t>
      </w:r>
      <w:r>
        <w:rPr>
          <w:rStyle w:val="787"/>
          <w:rFonts w:ascii="Times New Roman" w:hAnsi="Times New Roman"/>
          <w:sz w:val="22"/>
          <w:szCs w:val="22"/>
        </w:rPr>
      </w:r>
    </w:p>
    <w:p>
      <w:pPr>
        <w:pBdr/>
        <w:spacing w:line="240" w:lineRule="auto"/>
        <w:ind w:firstLine="709"/>
        <w:rPr>
          <w:color w:val="000000"/>
          <w:sz w:val="22"/>
          <w:szCs w:val="22"/>
        </w:rPr>
      </w:pPr>
      <w:r/>
      <w:bookmarkStart w:id="11" w:name="_Hlk189820063"/>
      <w:r>
        <w:rPr>
          <w:color w:val="000000"/>
          <w:sz w:val="22"/>
          <w:szCs w:val="22"/>
        </w:rPr>
        <w:t xml:space="preserve">15.5.3. </w:t>
      </w:r>
      <w:r>
        <w:rPr>
          <w:color w:val="000000"/>
          <w:sz w:val="22"/>
          <w:szCs w:val="22"/>
        </w:rPr>
        <w:t xml:space="preserve">Применение национального режима (информация о запрете или</w:t>
      </w:r>
      <w:r>
        <w:rPr>
          <w:color w:val="000000"/>
          <w:sz w:val="22"/>
          <w:szCs w:val="22"/>
        </w:rPr>
        <w:t xml:space="preserve"> об ограничении закупок товаров (работ, услуг), в случае, если такие запрет, ограничение, преимущество установлены в соответствии с пунктом 1 части 2 статьи 3.1-4 Федерального закона №223-ФЗ в отношении товара, работы, услуги, являющихся предметом закупки)</w:t>
      </w:r>
      <w:r>
        <w:rPr>
          <w:color w:val="000000"/>
          <w:sz w:val="22"/>
          <w:szCs w:val="22"/>
        </w:rPr>
      </w:r>
    </w:p>
    <w:tbl>
      <w:tblPr>
        <w:tblInd w:w="-714" w:type="dxa"/>
        <w:tblW w:w="1060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964"/>
        <w:gridCol w:w="3147"/>
        <w:gridCol w:w="6492"/>
      </w:tblGrid>
      <w:tr>
        <w:trPr>
          <w:trHeight w:val="407"/>
        </w:trPr>
        <w:tc>
          <w:tcPr>
            <w:tcBorders/>
            <w:tcW w:w="964" w:type="dxa"/>
            <w:textDirection w:val="lrTb"/>
            <w:noWrap w:val="false"/>
          </w:tcPr>
          <w:p>
            <w:pPr>
              <w:pBdr/>
              <w:tabs>
                <w:tab w:val="left" w:leader="none" w:pos="600"/>
                <w:tab w:val="left" w:leader="none" w:pos="840"/>
                <w:tab w:val="left" w:leader="none" w:pos="960"/>
                <w:tab w:val="left" w:leader="none" w:pos="1080"/>
                <w:tab w:val="left" w:leader="none" w:pos="1260"/>
                <w:tab w:val="left" w:leader="none" w:pos="1740"/>
              </w:tabs>
              <w:spacing w:line="240" w:lineRule="auto"/>
              <w:ind w:firstLine="0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15.5.3.1</w:t>
            </w:r>
            <w:r>
              <w:rPr>
                <w:bCs/>
                <w:sz w:val="22"/>
                <w:szCs w:val="22"/>
                <w:lang w:eastAsia="en-US"/>
              </w:rPr>
            </w:r>
          </w:p>
        </w:tc>
        <w:tc>
          <w:tcPr>
            <w:tcBorders/>
            <w:tcW w:w="3147" w:type="dxa"/>
            <w:textDirection w:val="lrTb"/>
            <w:noWrap w:val="false"/>
          </w:tcPr>
          <w:p>
            <w:pPr>
              <w:pBdr/>
              <w:tabs>
                <w:tab w:val="left" w:leader="none" w:pos="600"/>
                <w:tab w:val="left" w:leader="none" w:pos="840"/>
                <w:tab w:val="left" w:leader="none" w:pos="960"/>
                <w:tab w:val="left" w:leader="none" w:pos="1080"/>
                <w:tab w:val="left" w:leader="none" w:pos="1260"/>
                <w:tab w:val="left" w:leader="none" w:pos="1740"/>
              </w:tabs>
              <w:spacing w:line="240" w:lineRule="auto"/>
              <w:ind w:firstLine="0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Применение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bCs/>
                <w:sz w:val="22"/>
                <w:szCs w:val="22"/>
                <w:lang w:eastAsia="en-US"/>
              </w:rPr>
              <w:t xml:space="preserve">мер, </w:t>
            </w:r>
            <w:r>
              <w:rPr>
                <w:bCs/>
                <w:sz w:val="22"/>
                <w:szCs w:val="22"/>
                <w:lang w:eastAsia="en-US"/>
              </w:rPr>
              <w:t xml:space="preserve">устанавливающие</w:t>
            </w:r>
            <w:r>
              <w:rPr>
                <w:bCs/>
                <w:sz w:val="22"/>
                <w:szCs w:val="22"/>
                <w:lang w:eastAsia="en-US"/>
              </w:rPr>
            </w:r>
          </w:p>
          <w:p>
            <w:pPr>
              <w:pBdr/>
              <w:tabs>
                <w:tab w:val="left" w:leader="none" w:pos="600"/>
                <w:tab w:val="left" w:leader="none" w:pos="840"/>
                <w:tab w:val="left" w:leader="none" w:pos="960"/>
                <w:tab w:val="left" w:leader="none" w:pos="1080"/>
                <w:tab w:val="left" w:leader="none" w:pos="1260"/>
                <w:tab w:val="left" w:leader="none" w:pos="1740"/>
              </w:tabs>
              <w:spacing w:line="240" w:lineRule="auto"/>
              <w:ind w:firstLine="0"/>
              <w:rPr>
                <w:bCs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запрет </w:t>
            </w:r>
            <w:r>
              <w:rPr>
                <w:bCs/>
                <w:sz w:val="22"/>
                <w:szCs w:val="22"/>
                <w:lang w:eastAsia="en-US"/>
              </w:rPr>
              <w:t xml:space="preserve">закупок товаров </w:t>
            </w:r>
            <w:r>
              <w:rPr>
                <w:color w:val="000000"/>
                <w:sz w:val="22"/>
                <w:szCs w:val="22"/>
                <w:lang w:eastAsia="en-US"/>
              </w:rPr>
              <w:t xml:space="preserve">(работ, услуг)</w:t>
            </w:r>
            <w:r>
              <w:rPr>
                <w:bCs/>
                <w:sz w:val="22"/>
                <w:szCs w:val="22"/>
                <w:lang w:eastAsia="en-US"/>
              </w:rPr>
            </w:r>
          </w:p>
        </w:tc>
        <w:tc>
          <w:tcPr>
            <w:tcBorders/>
            <w:tcW w:w="6492" w:type="dxa"/>
            <w:textDirection w:val="lrTb"/>
            <w:noWrap w:val="false"/>
          </w:tcPr>
          <w:p>
            <w:pPr>
              <w:widowControl w:val="false"/>
              <w:pBdr/>
              <w:spacing w:line="240" w:lineRule="auto"/>
              <w:ind w:firstLine="0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Если поданы заявки на участие в закупке, окончательное предложение, признанные по результатам их рассмотрения соответствующими требованиям извещения и (или) документации о конкурентной закупке и содержащие предложения о поставке товара </w:t>
            </w: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иностранного</w:t>
            </w:r>
            <w:r>
              <w:rPr>
                <w:color w:val="000000"/>
                <w:sz w:val="22"/>
                <w:szCs w:val="22"/>
                <w:lang w:eastAsia="en-US"/>
              </w:rPr>
              <w:t xml:space="preserve"> происхождения (работ, услуг, соответственно выполняемых, оказываемых иностранными лицами), то </w:t>
            </w: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запрещается</w:t>
            </w:r>
            <w:r>
              <w:rPr>
                <w:color w:val="000000"/>
                <w:sz w:val="22"/>
                <w:szCs w:val="22"/>
                <w:lang w:eastAsia="en-US"/>
              </w:rPr>
              <w:t xml:space="preserve">:</w:t>
            </w:r>
            <w:r>
              <w:rPr>
                <w:color w:val="000000"/>
                <w:sz w:val="22"/>
                <w:szCs w:val="22"/>
                <w:lang w:eastAsia="en-US"/>
              </w:rPr>
            </w:r>
          </w:p>
          <w:p>
            <w:pPr>
              <w:widowControl w:val="false"/>
              <w:numPr>
                <w:ilvl w:val="0"/>
                <w:numId w:val="16"/>
              </w:numPr>
              <w:pBdr/>
              <w:spacing w:after="160" w:line="240" w:lineRule="auto"/>
              <w:ind w:hanging="25" w:left="38"/>
              <w:contextualSpacing w:val="true"/>
              <w:jc w:val="left"/>
              <w:rPr>
                <w:color w:val="000000"/>
                <w:sz w:val="22"/>
                <w:szCs w:val="22"/>
                <w:lang w:eastAsia="zh-CN" w:bidi="hi-IN"/>
              </w:rPr>
            </w:pPr>
            <w:r>
              <w:rPr>
                <w:color w:val="000000"/>
                <w:sz w:val="22"/>
                <w:szCs w:val="22"/>
                <w:lang w:eastAsia="zh-CN" w:bidi="hi-IN"/>
              </w:rPr>
              <w:t xml:space="preserve">заключать договор на поставку товара, происходящего из иностранного государства</w:t>
            </w:r>
            <w:r>
              <w:rPr>
                <w:color w:val="000000"/>
                <w:sz w:val="22"/>
                <w:szCs w:val="22"/>
                <w:lang w:eastAsia="zh-CN" w:bidi="hi-IN"/>
              </w:rPr>
            </w:r>
          </w:p>
          <w:p>
            <w:pPr>
              <w:widowControl w:val="false"/>
              <w:numPr>
                <w:ilvl w:val="0"/>
                <w:numId w:val="16"/>
              </w:numPr>
              <w:pBdr/>
              <w:spacing w:after="160" w:line="240" w:lineRule="auto"/>
              <w:ind w:firstLine="13" w:left="0"/>
              <w:contextualSpacing w:val="true"/>
              <w:jc w:val="left"/>
              <w:rPr>
                <w:i/>
                <w:iCs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color w:val="000000"/>
                <w:sz w:val="22"/>
                <w:szCs w:val="22"/>
                <w:lang w:eastAsia="zh-CN" w:bidi="hi-IN"/>
              </w:rPr>
              <w:t xml:space="preserve">заключать договор на выполнение работ (</w:t>
            </w:r>
            <w:r>
              <w:rPr>
                <w:color w:val="000000"/>
                <w:sz w:val="22"/>
                <w:szCs w:val="22"/>
                <w:lang w:eastAsia="zh-CN" w:bidi="hi-IN"/>
              </w:rPr>
              <w:t xml:space="preserve">оказании</w:t>
            </w:r>
            <w:r>
              <w:rPr>
                <w:color w:val="000000"/>
                <w:sz w:val="22"/>
                <w:szCs w:val="22"/>
                <w:lang w:eastAsia="zh-CN" w:bidi="hi-IN"/>
              </w:rPr>
              <w:t xml:space="preserve"> услуг) с подрядчиком (исполнителем), являющимся иностранным лицом</w:t>
            </w:r>
            <w:r>
              <w:rPr>
                <w:i/>
                <w:iCs/>
                <w:color w:val="000000"/>
                <w:sz w:val="22"/>
                <w:szCs w:val="22"/>
                <w:lang w:eastAsia="zh-CN" w:bidi="hi-IN"/>
              </w:rPr>
            </w:r>
          </w:p>
        </w:tc>
      </w:tr>
      <w:tr>
        <w:trPr>
          <w:trHeight w:val="407"/>
        </w:trPr>
        <w:tc>
          <w:tcPr>
            <w:tcBorders/>
            <w:tcW w:w="964" w:type="dxa"/>
            <w:textDirection w:val="lrTb"/>
            <w:noWrap w:val="false"/>
          </w:tcPr>
          <w:p>
            <w:pPr>
              <w:pBdr/>
              <w:tabs>
                <w:tab w:val="left" w:leader="none" w:pos="600"/>
                <w:tab w:val="left" w:leader="none" w:pos="840"/>
                <w:tab w:val="left" w:leader="none" w:pos="960"/>
                <w:tab w:val="left" w:leader="none" w:pos="1080"/>
                <w:tab w:val="left" w:leader="none" w:pos="1260"/>
                <w:tab w:val="left" w:leader="none" w:pos="1740"/>
              </w:tabs>
              <w:spacing w:line="240" w:lineRule="auto"/>
              <w:ind w:firstLine="0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15.5.3.2</w:t>
            </w:r>
            <w:r>
              <w:rPr>
                <w:bCs/>
                <w:sz w:val="22"/>
                <w:szCs w:val="22"/>
                <w:lang w:eastAsia="en-US"/>
              </w:rPr>
            </w:r>
          </w:p>
        </w:tc>
        <w:tc>
          <w:tcPr>
            <w:tcBorders/>
            <w:tcW w:w="3147" w:type="dxa"/>
            <w:textDirection w:val="lrTb"/>
            <w:noWrap w:val="false"/>
          </w:tcPr>
          <w:p>
            <w:pPr>
              <w:pBdr/>
              <w:tabs>
                <w:tab w:val="left" w:leader="none" w:pos="600"/>
                <w:tab w:val="left" w:leader="none" w:pos="840"/>
                <w:tab w:val="left" w:leader="none" w:pos="960"/>
                <w:tab w:val="left" w:leader="none" w:pos="1080"/>
                <w:tab w:val="left" w:leader="none" w:pos="1260"/>
                <w:tab w:val="left" w:leader="none" w:pos="1740"/>
              </w:tabs>
              <w:spacing w:line="240" w:lineRule="auto"/>
              <w:ind w:firstLine="0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Применение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bCs/>
                <w:sz w:val="22"/>
                <w:szCs w:val="22"/>
                <w:lang w:eastAsia="en-US"/>
              </w:rPr>
              <w:t xml:space="preserve">мер, </w:t>
            </w:r>
            <w:r>
              <w:rPr>
                <w:bCs/>
                <w:sz w:val="22"/>
                <w:szCs w:val="22"/>
                <w:lang w:eastAsia="en-US"/>
              </w:rPr>
              <w:t xml:space="preserve">устанавливающие</w:t>
            </w:r>
            <w:r>
              <w:rPr>
                <w:bCs/>
                <w:sz w:val="22"/>
                <w:szCs w:val="22"/>
                <w:lang w:eastAsia="en-US"/>
              </w:rPr>
            </w:r>
          </w:p>
          <w:p>
            <w:pPr>
              <w:pBdr/>
              <w:tabs>
                <w:tab w:val="left" w:leader="none" w:pos="600"/>
                <w:tab w:val="left" w:leader="none" w:pos="840"/>
                <w:tab w:val="left" w:leader="none" w:pos="960"/>
                <w:tab w:val="left" w:leader="none" w:pos="1080"/>
                <w:tab w:val="left" w:leader="none" w:pos="1260"/>
                <w:tab w:val="left" w:leader="none" w:pos="1740"/>
              </w:tabs>
              <w:spacing w:line="240" w:lineRule="auto"/>
              <w:ind w:firstLine="0"/>
              <w:rPr>
                <w:bCs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ограничение</w:t>
            </w:r>
            <w:r>
              <w:rPr>
                <w:bCs/>
                <w:sz w:val="22"/>
                <w:szCs w:val="22"/>
                <w:lang w:eastAsia="en-US"/>
              </w:rPr>
              <w:t xml:space="preserve"> закупок товаров </w:t>
            </w:r>
            <w:r>
              <w:rPr>
                <w:color w:val="000000"/>
                <w:sz w:val="22"/>
                <w:szCs w:val="22"/>
                <w:lang w:eastAsia="en-US"/>
              </w:rPr>
              <w:t xml:space="preserve">(работ, услуг)</w:t>
            </w:r>
            <w:r>
              <w:rPr>
                <w:bCs/>
                <w:sz w:val="22"/>
                <w:szCs w:val="22"/>
                <w:lang w:eastAsia="en-US"/>
              </w:rPr>
            </w:r>
          </w:p>
        </w:tc>
        <w:tc>
          <w:tcPr>
            <w:tcBorders/>
            <w:tcW w:w="6492" w:type="dxa"/>
            <w:textDirection w:val="lrTb"/>
            <w:noWrap w:val="false"/>
          </w:tcPr>
          <w:p>
            <w:pPr>
              <w:widowControl w:val="false"/>
              <w:pBdr/>
              <w:spacing w:line="240" w:lineRule="auto"/>
              <w:ind w:firstLine="0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Если подана заявка на участие в закупке, окончательное предложение, признанные по результатам их рассмотрения соответствующими требованиям извещения и (или) документации </w:t>
            </w:r>
            <w:r>
              <w:rPr>
                <w:color w:val="000000"/>
                <w:sz w:val="22"/>
                <w:szCs w:val="22"/>
                <w:lang w:eastAsia="en-US"/>
              </w:rPr>
              <w:t xml:space="preserve">о конкурентной закупке и содержащая предложение о поставке товара </w:t>
            </w: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российского </w:t>
            </w:r>
            <w:r>
              <w:rPr>
                <w:color w:val="000000"/>
                <w:sz w:val="22"/>
                <w:szCs w:val="22"/>
                <w:lang w:eastAsia="en-US"/>
              </w:rPr>
              <w:t xml:space="preserve">происхождения (работы, услуги, соответственно выполняемой, оказываемой российским лицом), то </w:t>
            </w: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запрещается</w:t>
            </w:r>
            <w:r>
              <w:rPr>
                <w:color w:val="000000"/>
                <w:sz w:val="22"/>
                <w:szCs w:val="22"/>
                <w:lang w:eastAsia="en-US"/>
              </w:rPr>
              <w:t xml:space="preserve">:</w:t>
            </w:r>
            <w:r>
              <w:rPr>
                <w:color w:val="000000"/>
                <w:sz w:val="22"/>
                <w:szCs w:val="22"/>
                <w:lang w:eastAsia="en-US"/>
              </w:rPr>
            </w:r>
          </w:p>
          <w:p>
            <w:pPr>
              <w:widowControl w:val="false"/>
              <w:numPr>
                <w:ilvl w:val="0"/>
                <w:numId w:val="16"/>
              </w:numPr>
              <w:pBdr/>
              <w:spacing w:after="160" w:line="240" w:lineRule="auto"/>
              <w:ind w:firstLine="117" w:left="38"/>
              <w:contextualSpacing w:val="true"/>
              <w:jc w:val="left"/>
              <w:rPr>
                <w:color w:val="000000"/>
                <w:sz w:val="22"/>
                <w:szCs w:val="22"/>
                <w:lang w:eastAsia="zh-CN" w:bidi="hi-IN"/>
              </w:rPr>
            </w:pPr>
            <w:r>
              <w:rPr>
                <w:color w:val="000000"/>
                <w:sz w:val="22"/>
                <w:szCs w:val="22"/>
                <w:lang w:eastAsia="zh-CN" w:bidi="hi-IN"/>
              </w:rPr>
              <w:t xml:space="preserve">заключать договор на поставку товара, происходящего из иностранного государства</w:t>
            </w:r>
            <w:r>
              <w:rPr>
                <w:color w:val="000000"/>
                <w:sz w:val="22"/>
                <w:szCs w:val="22"/>
                <w:lang w:eastAsia="zh-CN" w:bidi="hi-IN"/>
              </w:rPr>
            </w:r>
          </w:p>
          <w:p>
            <w:pPr>
              <w:widowControl w:val="false"/>
              <w:numPr>
                <w:ilvl w:val="0"/>
                <w:numId w:val="16"/>
              </w:numPr>
              <w:pBdr/>
              <w:spacing w:after="160" w:line="240" w:lineRule="auto"/>
              <w:ind w:firstLine="117" w:left="38"/>
              <w:contextualSpacing w:val="true"/>
              <w:jc w:val="left"/>
              <w:rPr>
                <w:i/>
                <w:iCs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color w:val="000000"/>
                <w:sz w:val="22"/>
                <w:szCs w:val="22"/>
                <w:lang w:eastAsia="zh-CN" w:bidi="hi-IN"/>
              </w:rPr>
              <w:t xml:space="preserve">заключать договор на выполнение работ (</w:t>
            </w:r>
            <w:r>
              <w:rPr>
                <w:color w:val="000000"/>
                <w:sz w:val="22"/>
                <w:szCs w:val="22"/>
                <w:lang w:eastAsia="zh-CN" w:bidi="hi-IN"/>
              </w:rPr>
              <w:t xml:space="preserve">оказании</w:t>
            </w:r>
            <w:r>
              <w:rPr>
                <w:color w:val="000000"/>
                <w:sz w:val="22"/>
                <w:szCs w:val="22"/>
                <w:lang w:eastAsia="zh-CN" w:bidi="hi-IN"/>
              </w:rPr>
              <w:t xml:space="preserve"> услуг) с подрядчиком (исполнителем), являющимся российским лицом</w:t>
            </w:r>
            <w:r>
              <w:rPr>
                <w:i/>
                <w:iCs/>
                <w:color w:val="000000"/>
                <w:sz w:val="22"/>
                <w:szCs w:val="22"/>
                <w:lang w:eastAsia="zh-CN" w:bidi="hi-IN"/>
              </w:rPr>
            </w:r>
          </w:p>
        </w:tc>
      </w:tr>
      <w:tr>
        <w:trPr>
          <w:trHeight w:val="407"/>
        </w:trPr>
        <w:tc>
          <w:tcPr>
            <w:tcBorders/>
            <w:tcW w:w="964" w:type="dxa"/>
            <w:textDirection w:val="lrTb"/>
            <w:noWrap w:val="false"/>
          </w:tcPr>
          <w:p>
            <w:pPr>
              <w:pBdr/>
              <w:tabs>
                <w:tab w:val="left" w:leader="none" w:pos="600"/>
                <w:tab w:val="left" w:leader="none" w:pos="840"/>
                <w:tab w:val="left" w:leader="none" w:pos="960"/>
                <w:tab w:val="left" w:leader="none" w:pos="1080"/>
                <w:tab w:val="left" w:leader="none" w:pos="1260"/>
                <w:tab w:val="left" w:leader="none" w:pos="1740"/>
              </w:tabs>
              <w:spacing w:line="240" w:lineRule="auto"/>
              <w:ind w:firstLine="0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15.5.3.3</w:t>
            </w:r>
            <w:r>
              <w:rPr>
                <w:bCs/>
                <w:sz w:val="22"/>
                <w:szCs w:val="22"/>
                <w:lang w:eastAsia="en-US"/>
              </w:rPr>
            </w:r>
          </w:p>
        </w:tc>
        <w:tc>
          <w:tcPr>
            <w:tcBorders/>
            <w:tcW w:w="3147" w:type="dxa"/>
            <w:textDirection w:val="lrTb"/>
            <w:noWrap w:val="false"/>
          </w:tcPr>
          <w:p>
            <w:pPr>
              <w:pBdr/>
              <w:tabs>
                <w:tab w:val="left" w:leader="none" w:pos="600"/>
                <w:tab w:val="left" w:leader="none" w:pos="840"/>
                <w:tab w:val="left" w:leader="none" w:pos="960"/>
                <w:tab w:val="left" w:leader="none" w:pos="1080"/>
                <w:tab w:val="left" w:leader="none" w:pos="1260"/>
                <w:tab w:val="left" w:leader="none" w:pos="1740"/>
              </w:tabs>
              <w:spacing w:line="240" w:lineRule="auto"/>
              <w:ind w:firstLine="0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Применение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bCs/>
                <w:sz w:val="22"/>
                <w:szCs w:val="22"/>
                <w:lang w:eastAsia="en-US"/>
              </w:rPr>
              <w:t xml:space="preserve">мер, </w:t>
            </w:r>
            <w:r>
              <w:rPr>
                <w:bCs/>
                <w:sz w:val="22"/>
                <w:szCs w:val="22"/>
                <w:lang w:eastAsia="en-US"/>
              </w:rPr>
              <w:t xml:space="preserve">устанавливающие</w:t>
            </w:r>
            <w:r>
              <w:rPr>
                <w:bCs/>
                <w:sz w:val="22"/>
                <w:szCs w:val="22"/>
                <w:lang w:eastAsia="en-US"/>
              </w:rPr>
            </w:r>
          </w:p>
          <w:p>
            <w:pPr>
              <w:pBdr/>
              <w:tabs>
                <w:tab w:val="left" w:leader="none" w:pos="600"/>
                <w:tab w:val="left" w:leader="none" w:pos="840"/>
                <w:tab w:val="left" w:leader="none" w:pos="960"/>
                <w:tab w:val="left" w:leader="none" w:pos="1080"/>
                <w:tab w:val="left" w:leader="none" w:pos="1260"/>
                <w:tab w:val="left" w:leader="none" w:pos="1740"/>
              </w:tabs>
              <w:spacing w:line="240" w:lineRule="auto"/>
              <w:ind w:firstLine="0"/>
              <w:rPr>
                <w:bCs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преимущество</w:t>
            </w:r>
            <w:r>
              <w:rPr>
                <w:bCs/>
                <w:sz w:val="22"/>
                <w:szCs w:val="22"/>
                <w:lang w:eastAsia="en-US"/>
              </w:rPr>
              <w:t xml:space="preserve"> закупок товаров </w:t>
            </w:r>
            <w:r>
              <w:rPr>
                <w:color w:val="000000"/>
                <w:sz w:val="22"/>
                <w:szCs w:val="22"/>
                <w:lang w:eastAsia="en-US"/>
              </w:rPr>
              <w:t xml:space="preserve">(работ, услуг)</w:t>
            </w:r>
            <w:r>
              <w:rPr>
                <w:bCs/>
                <w:sz w:val="22"/>
                <w:szCs w:val="22"/>
                <w:lang w:eastAsia="en-US"/>
              </w:rPr>
            </w:r>
          </w:p>
        </w:tc>
        <w:tc>
          <w:tcPr>
            <w:tcBorders/>
            <w:tcW w:w="6492" w:type="dxa"/>
            <w:textDirection w:val="lrTb"/>
            <w:noWrap w:val="false"/>
          </w:tcPr>
          <w:p>
            <w:pPr>
              <w:widowControl w:val="false"/>
              <w:pBdr/>
              <w:spacing w:line="240" w:lineRule="auto"/>
              <w:ind w:firstLine="0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Если объект закупки (предмет закупки) включает хотя бы один товар, </w:t>
            </w:r>
            <w:r>
              <w:rPr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  <w:t xml:space="preserve">не указанный</w:t>
            </w: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 в перечне № 1 и перечне № 2</w:t>
            </w:r>
            <w:r>
              <w:rPr>
                <w:color w:val="000000"/>
                <w:sz w:val="22"/>
                <w:szCs w:val="22"/>
                <w:lang w:eastAsia="en-US"/>
              </w:rPr>
              <w:t xml:space="preserve">, в отношении заявки, содержащей предложение о поставке товаров (в том числе поставляемых при выполнении закупаемых работ, оказании закупаемых услуг) только российского происхождения, </w:t>
            </w: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применяется преимущество при условии, что</w:t>
            </w:r>
            <w:r>
              <w:rPr>
                <w:color w:val="000000"/>
                <w:sz w:val="22"/>
                <w:szCs w:val="22"/>
                <w:lang w:eastAsia="en-US"/>
              </w:rPr>
              <w:t xml:space="preserve"> в числе заявок на участие в закупке (окончательных предложений), которые рассматриваются, оцениваются, сопоставляются, </w:t>
            </w: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имеется заявка</w:t>
            </w:r>
            <w:r>
              <w:rPr>
                <w:color w:val="000000"/>
                <w:sz w:val="22"/>
                <w:szCs w:val="22"/>
                <w:lang w:eastAsia="en-US"/>
              </w:rPr>
              <w:t xml:space="preserve"> на участие в закупке, </w:t>
            </w: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которая</w:t>
            </w:r>
            <w:r>
              <w:rPr>
                <w:color w:val="000000"/>
                <w:sz w:val="22"/>
                <w:szCs w:val="22"/>
                <w:lang w:eastAsia="en-US"/>
              </w:rPr>
              <w:t xml:space="preserve"> не отклонена и </w:t>
            </w: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содержит предложение</w:t>
            </w:r>
            <w:r>
              <w:rPr>
                <w:color w:val="000000"/>
                <w:sz w:val="22"/>
                <w:szCs w:val="22"/>
                <w:lang w:eastAsia="en-US"/>
              </w:rPr>
              <w:t xml:space="preserve"> о поставке хотя бы одного товара, происходящего </w:t>
            </w: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из иностранного государства</w:t>
            </w:r>
            <w:r>
              <w:rPr>
                <w:color w:val="000000"/>
                <w:sz w:val="22"/>
                <w:szCs w:val="22"/>
                <w:lang w:eastAsia="en-US"/>
              </w:rPr>
              <w:t xml:space="preserve">.</w:t>
            </w:r>
            <w:r>
              <w:rPr>
                <w:color w:val="000000"/>
                <w:sz w:val="22"/>
                <w:szCs w:val="22"/>
                <w:lang w:eastAsia="en-US"/>
              </w:rPr>
            </w:r>
          </w:p>
          <w:p>
            <w:pPr>
              <w:widowControl w:val="false"/>
              <w:pBdr/>
              <w:spacing w:line="240" w:lineRule="auto"/>
              <w:ind w:firstLine="0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Преимущество также применяется в отношении включенных в предмет закупки товаров, </w:t>
            </w:r>
            <w:r>
              <w:rPr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  <w:t xml:space="preserve">указанных</w:t>
            </w: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 в перечне</w:t>
            </w:r>
            <w:r>
              <w:rPr>
                <w:color w:val="000000"/>
                <w:sz w:val="22"/>
                <w:szCs w:val="22"/>
                <w:lang w:eastAsia="en-US"/>
              </w:rPr>
              <w:t xml:space="preserve"> № 1 и перечне № 2 </w:t>
            </w: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при условии</w:t>
            </w:r>
            <w:r>
              <w:rPr>
                <w:color w:val="000000"/>
                <w:sz w:val="22"/>
                <w:szCs w:val="22"/>
                <w:lang w:eastAsia="en-US"/>
              </w:rPr>
              <w:t xml:space="preserve">, что в отношении таких товаров запреты (ограничения) могут или не применяются.</w:t>
            </w:r>
            <w:r>
              <w:rPr>
                <w:color w:val="000000"/>
                <w:sz w:val="22"/>
                <w:szCs w:val="22"/>
                <w:lang w:eastAsia="en-US"/>
              </w:rPr>
            </w:r>
          </w:p>
          <w:p>
            <w:pPr>
              <w:widowControl w:val="false"/>
              <w:pBdr/>
              <w:spacing w:line="240" w:lineRule="auto"/>
              <w:ind w:firstLine="0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</w:r>
            <w:r>
              <w:rPr>
                <w:color w:val="000000"/>
                <w:sz w:val="22"/>
                <w:szCs w:val="22"/>
                <w:lang w:eastAsia="en-US"/>
              </w:rPr>
            </w:r>
          </w:p>
          <w:p>
            <w:pPr>
              <w:widowControl w:val="false"/>
              <w:pBdr/>
              <w:spacing w:line="240" w:lineRule="auto"/>
              <w:ind w:firstLine="0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При рассмотрении, оценке, сопоставлении заявок на участие в закупке, окончательных предложений осуществляется </w:t>
            </w: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снижение на 15%</w:t>
            </w:r>
            <w:r>
              <w:rPr>
                <w:color w:val="000000"/>
                <w:sz w:val="22"/>
                <w:szCs w:val="22"/>
                <w:lang w:eastAsia="en-US"/>
              </w:rPr>
              <w:t xml:space="preserve"> ценового предложения, поданного участником закупки, предлагающим к поставке тов</w:t>
            </w:r>
            <w:r>
              <w:rPr>
                <w:color w:val="000000"/>
                <w:sz w:val="22"/>
                <w:szCs w:val="22"/>
                <w:lang w:eastAsia="en-US"/>
              </w:rPr>
              <w:t xml:space="preserve">ар только российского происхождения (поданного участником закупки, являющимся российским лицом), либо увеличение на 15% ценового предложения этого участника закупки в случае подачи им предложения о размере платы, подлежащей внесению за заключение договора.</w:t>
            </w:r>
            <w:r>
              <w:rPr>
                <w:color w:val="000000"/>
                <w:sz w:val="22"/>
                <w:szCs w:val="22"/>
                <w:lang w:eastAsia="en-US"/>
              </w:rPr>
            </w:r>
          </w:p>
          <w:p>
            <w:pPr>
              <w:widowControl w:val="false"/>
              <w:pBdr/>
              <w:spacing w:line="240" w:lineRule="auto"/>
              <w:ind w:firstLine="0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</w:r>
            <w:r>
              <w:rPr>
                <w:color w:val="000000"/>
                <w:sz w:val="22"/>
                <w:szCs w:val="22"/>
                <w:lang w:eastAsia="en-US"/>
              </w:rPr>
            </w:r>
          </w:p>
          <w:p>
            <w:pPr>
              <w:widowControl w:val="false"/>
              <w:pBdr/>
              <w:spacing w:line="240" w:lineRule="auto"/>
              <w:ind w:firstLine="0"/>
              <w:rPr>
                <w:i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В случае заключения договора с участником закупки, предлагающим к поставке товар только российского происхождения </w:t>
            </w:r>
            <w:r>
              <w:rPr>
                <w:color w:val="000000"/>
                <w:sz w:val="22"/>
                <w:szCs w:val="22"/>
                <w:lang w:eastAsia="en-US"/>
              </w:rPr>
              <w:t xml:space="preserve">(работы, услуги, соответственно выполняемой, оказываемой российским лицом)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, договор заключается без учета снижения либо увеличения ценового предложения </w:t>
            </w:r>
            <w:r>
              <w:rPr>
                <w:color w:val="000000"/>
                <w:sz w:val="22"/>
                <w:szCs w:val="22"/>
                <w:lang w:eastAsia="en-US"/>
              </w:rPr>
              <w:t xml:space="preserve">этого участника закупки</w:t>
            </w:r>
            <w:bookmarkEnd w:id="11"/>
            <w:r>
              <w:rPr>
                <w:i/>
                <w:iCs/>
                <w:color w:val="000000"/>
                <w:sz w:val="22"/>
                <w:szCs w:val="22"/>
                <w:lang w:eastAsia="en-US"/>
              </w:rPr>
            </w:r>
          </w:p>
        </w:tc>
      </w:tr>
    </w:tbl>
    <w:p>
      <w:pPr>
        <w:pBdr/>
        <w:spacing w:line="240" w:lineRule="auto"/>
        <w:ind w:firstLine="709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  <w:r>
        <w:rPr>
          <w:color w:val="000000"/>
          <w:sz w:val="22"/>
          <w:szCs w:val="22"/>
        </w:rPr>
      </w:r>
    </w:p>
    <w:p>
      <w:pPr>
        <w:pBdr/>
        <w:spacing w:line="240" w:lineRule="auto"/>
        <w:ind w:firstLine="709"/>
        <w:rPr>
          <w:rStyle w:val="787"/>
          <w:rFonts w:ascii="Times New Roman" w:hAnsi="Times New Roman"/>
          <w:sz w:val="22"/>
          <w:szCs w:val="22"/>
        </w:rPr>
      </w:pPr>
      <w:r>
        <w:rPr>
          <w:rStyle w:val="787"/>
          <w:rFonts w:ascii="Times New Roman" w:hAnsi="Times New Roman"/>
          <w:sz w:val="22"/>
          <w:szCs w:val="22"/>
        </w:rPr>
        <w:t xml:space="preserve">15.6. На основании результатов рассмотрения и оценки котировочных заявок комиссия по закупке оформляет протокол о результатах запроса котировок. Протокол подписывается членами комиссии по закупке, присутствовавшими на заседании, в течение 1 рабочего дня. </w:t>
      </w:r>
      <w:r>
        <w:rPr>
          <w:rStyle w:val="787"/>
          <w:rFonts w:ascii="Times New Roman" w:hAnsi="Times New Roman"/>
          <w:sz w:val="22"/>
          <w:szCs w:val="22"/>
        </w:rPr>
      </w:r>
    </w:p>
    <w:p>
      <w:pPr>
        <w:pBdr/>
        <w:spacing w:line="240" w:lineRule="auto"/>
        <w:ind w:firstLine="709"/>
        <w:rPr>
          <w:rStyle w:val="787"/>
          <w:rFonts w:ascii="Times New Roman" w:hAnsi="Times New Roman"/>
          <w:sz w:val="22"/>
          <w:szCs w:val="22"/>
        </w:rPr>
      </w:pPr>
      <w:r>
        <w:rPr>
          <w:rStyle w:val="787"/>
          <w:rFonts w:ascii="Times New Roman" w:hAnsi="Times New Roman"/>
          <w:sz w:val="22"/>
          <w:szCs w:val="22"/>
        </w:rPr>
        <w:t xml:space="preserve">15.7. Указанный протокол размещается заказчиком не позднее 3 дней со дня его подписания в единой информационной системе. </w:t>
      </w:r>
      <w:r>
        <w:rPr>
          <w:rStyle w:val="787"/>
          <w:rFonts w:ascii="Times New Roman" w:hAnsi="Times New Roman"/>
          <w:sz w:val="22"/>
          <w:szCs w:val="22"/>
        </w:rPr>
      </w:r>
    </w:p>
    <w:p>
      <w:pPr>
        <w:pBdr/>
        <w:spacing w:line="240" w:lineRule="auto"/>
        <w:ind w:firstLine="709"/>
        <w:rPr/>
      </w:pPr>
      <w:r>
        <w:rPr>
          <w:rStyle w:val="787"/>
          <w:rFonts w:ascii="Times New Roman" w:hAnsi="Times New Roman"/>
          <w:sz w:val="22"/>
          <w:szCs w:val="22"/>
        </w:rPr>
        <w:t xml:space="preserve">15.8. Договор с победителем либо иным лицом по итогам проведенного запроса котировок, в том числе в электронной форме, заключается не ранее чем через десять дней и не позднее чем через двадцать дней со дня подписания итогового протокола.</w:t>
      </w:r>
      <w:r>
        <w:rPr>
          <w:rStyle w:val="787"/>
          <w:rFonts w:ascii="Times New Roman" w:hAnsi="Times New Roman"/>
          <w:sz w:val="22"/>
          <w:szCs w:val="22"/>
        </w:rPr>
        <w:tab/>
      </w:r>
      <w:r/>
    </w:p>
    <w:p>
      <w:pPr>
        <w:pBdr/>
        <w:spacing w:line="240" w:lineRule="auto"/>
        <w:ind w:firstLine="709"/>
        <w:rPr>
          <w:rStyle w:val="787"/>
          <w:rFonts w:ascii="Times New Roman" w:hAnsi="Times New Roman"/>
          <w:sz w:val="22"/>
          <w:szCs w:val="22"/>
        </w:rPr>
      </w:pPr>
      <w:r>
        <w:rPr>
          <w:rStyle w:val="787"/>
          <w:rFonts w:ascii="Times New Roman" w:hAnsi="Times New Roman"/>
          <w:sz w:val="22"/>
          <w:szCs w:val="22"/>
        </w:rPr>
        <w:t xml:space="preserve">15.9. Если после заключения договора возникла необходимость изменить условия и порядок оплаты договора, количество и сумму товара, то стороны заключают дополнительное соглашение. </w:t>
      </w:r>
      <w:r>
        <w:rPr>
          <w:rStyle w:val="787"/>
          <w:rFonts w:ascii="Times New Roman" w:hAnsi="Times New Roman"/>
          <w:sz w:val="22"/>
          <w:szCs w:val="22"/>
        </w:rPr>
      </w:r>
    </w:p>
    <w:p>
      <w:pPr>
        <w:pBdr/>
        <w:spacing w:line="240" w:lineRule="auto"/>
        <w:ind w:firstLine="709"/>
        <w:rPr>
          <w:rStyle w:val="787"/>
          <w:rFonts w:ascii="Times New Roman" w:hAnsi="Times New Roman"/>
          <w:sz w:val="22"/>
          <w:szCs w:val="22"/>
        </w:rPr>
      </w:pPr>
      <w:r>
        <w:rPr>
          <w:rStyle w:val="787"/>
          <w:rFonts w:ascii="Times New Roman" w:hAnsi="Times New Roman"/>
          <w:sz w:val="22"/>
          <w:szCs w:val="22"/>
        </w:rPr>
        <w:t xml:space="preserve">15.10. В случае уклонения победителя в проведении запроса котировок от заключения договора, заказчик вправе заключить договор с участником, предложившим в котировочной заявке такую же цену, как и победитель,</w:t>
      </w:r>
      <w:r>
        <w:rPr>
          <w:color w:val="000000"/>
          <w:sz w:val="22"/>
          <w:szCs w:val="22"/>
        </w:rPr>
        <w:t xml:space="preserve"> </w:t>
      </w:r>
      <w:r>
        <w:rPr>
          <w:rStyle w:val="787"/>
          <w:rFonts w:ascii="Times New Roman" w:hAnsi="Times New Roman"/>
          <w:sz w:val="22"/>
          <w:szCs w:val="22"/>
        </w:rPr>
        <w:t xml:space="preserve">или предложение, о цене договора которого содержит лучшие условия, следующие после предложенных</w:t>
      </w:r>
      <w:r>
        <w:rPr>
          <w:color w:val="000000"/>
          <w:sz w:val="22"/>
          <w:szCs w:val="22"/>
        </w:rPr>
        <w:t xml:space="preserve"> </w:t>
      </w:r>
      <w:r>
        <w:rPr>
          <w:rStyle w:val="787"/>
          <w:rFonts w:ascii="Times New Roman" w:hAnsi="Times New Roman"/>
          <w:sz w:val="22"/>
          <w:szCs w:val="22"/>
        </w:rPr>
        <w:t xml:space="preserve">победителем. </w:t>
      </w:r>
      <w:r>
        <w:rPr>
          <w:rStyle w:val="787"/>
          <w:rFonts w:ascii="Times New Roman" w:hAnsi="Times New Roman"/>
          <w:sz w:val="22"/>
          <w:szCs w:val="22"/>
        </w:rPr>
      </w:r>
    </w:p>
    <w:p>
      <w:pPr>
        <w:pBdr/>
        <w:spacing w:line="240" w:lineRule="auto"/>
        <w:ind w:firstLine="709"/>
        <w:rPr>
          <w:rStyle w:val="787"/>
          <w:rFonts w:ascii="Times New Roman" w:hAnsi="Times New Roman"/>
          <w:sz w:val="22"/>
          <w:szCs w:val="22"/>
        </w:rPr>
      </w:pPr>
      <w:r>
        <w:rPr>
          <w:rStyle w:val="787"/>
          <w:rFonts w:ascii="Times New Roman" w:hAnsi="Times New Roman"/>
          <w:sz w:val="22"/>
          <w:szCs w:val="22"/>
        </w:rPr>
        <w:t xml:space="preserve">1</w:t>
      </w:r>
      <w:r>
        <w:rPr>
          <w:rStyle w:val="787"/>
          <w:rFonts w:ascii="Times New Roman" w:hAnsi="Times New Roman"/>
          <w:sz w:val="22"/>
          <w:szCs w:val="22"/>
        </w:rPr>
        <w:t xml:space="preserve">5.10.1. Договор с таким участником заключается на условиях проекта договора, прилагаемого к извещению о проведении запроса котировок, по цене, предложенной таким участником в котировочной заявке. Такой участник не вправе отказаться от заключения договора. </w:t>
      </w:r>
      <w:r>
        <w:rPr>
          <w:rStyle w:val="787"/>
          <w:rFonts w:ascii="Times New Roman" w:hAnsi="Times New Roman"/>
          <w:sz w:val="22"/>
          <w:szCs w:val="22"/>
        </w:rPr>
      </w:r>
    </w:p>
    <w:p>
      <w:pPr>
        <w:pBdr/>
        <w:spacing w:line="240" w:lineRule="auto"/>
        <w:ind w:firstLine="709"/>
        <w:rPr>
          <w:rStyle w:val="787"/>
          <w:rFonts w:ascii="Times New Roman" w:hAnsi="Times New Roman"/>
          <w:sz w:val="22"/>
          <w:szCs w:val="22"/>
        </w:rPr>
      </w:pPr>
      <w:r>
        <w:rPr>
          <w:rStyle w:val="787"/>
          <w:rFonts w:ascii="Times New Roman" w:hAnsi="Times New Roman"/>
          <w:sz w:val="22"/>
          <w:szCs w:val="22"/>
        </w:rPr>
        <w:t xml:space="preserve">15.10.2. В случае уклонения</w:t>
      </w:r>
      <w:r>
        <w:rPr>
          <w:rStyle w:val="787"/>
          <w:rFonts w:ascii="Times New Roman" w:hAnsi="Times New Roman"/>
          <w:sz w:val="22"/>
          <w:szCs w:val="22"/>
        </w:rPr>
        <w:t xml:space="preserve"> от заключения договора участника, предложившим в котировочной заявке такую же цену, как и победитель, или предложение, о цене договора которого содержит лучшие условия, следующие после предложенных победителем, запрос котировок признается несостоявшимся. </w:t>
      </w:r>
      <w:r>
        <w:rPr>
          <w:rStyle w:val="787"/>
          <w:rFonts w:ascii="Times New Roman" w:hAnsi="Times New Roman"/>
          <w:sz w:val="22"/>
          <w:szCs w:val="22"/>
        </w:rPr>
      </w:r>
    </w:p>
    <w:p>
      <w:pPr>
        <w:pBdr/>
        <w:spacing w:line="240" w:lineRule="auto"/>
        <w:ind w:firstLine="709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16. Запросы об уточнении сведений, содержащихся в заявках участников</w:t>
      </w:r>
      <w:r>
        <w:rPr>
          <w:b/>
          <w:bCs/>
          <w:sz w:val="22"/>
          <w:szCs w:val="22"/>
        </w:rPr>
      </w:r>
    </w:p>
    <w:p>
      <w:pPr>
        <w:pBdr/>
        <w:spacing w:line="240" w:lineRule="auto"/>
        <w:ind w:firstLine="709"/>
        <w:rPr>
          <w:sz w:val="22"/>
          <w:szCs w:val="22"/>
        </w:rPr>
      </w:pPr>
      <w:r>
        <w:rPr>
          <w:sz w:val="22"/>
          <w:szCs w:val="22"/>
        </w:rPr>
        <w:t xml:space="preserve">16.1. </w:t>
      </w:r>
      <w:r>
        <w:rPr>
          <w:sz w:val="22"/>
          <w:szCs w:val="22"/>
        </w:rPr>
        <w:t xml:space="preserve">В ходе рассмотрения заявок, в случае отсутствия какой-либо информации или каких-либо документов, сведений в составе заявки участников, предусмотренных извещением о закупке, вследствие чего закупочная комиссия не может оценить соответствие участник</w:t>
      </w:r>
      <w:r>
        <w:rPr>
          <w:sz w:val="22"/>
          <w:szCs w:val="22"/>
        </w:rPr>
        <w:t xml:space="preserve">а установленным требованиям, в ходе рассмотрения заявок Комиссия по осуществлению закупок вправе запросить недостающие или некорректные документы, а также уточнение заявок/не полностью читаемой заявки участников предоставив участнику срок для представления</w:t>
      </w:r>
      <w:r>
        <w:rPr>
          <w:sz w:val="22"/>
          <w:szCs w:val="22"/>
        </w:rPr>
        <w:t xml:space="preserve"> запрошенных документов. </w:t>
      </w:r>
      <w:r>
        <w:rPr>
          <w:sz w:val="22"/>
          <w:szCs w:val="22"/>
        </w:rPr>
        <w:t xml:space="preserve">Не допускаются запросы, направленные на изменение предмета проводимой процедуры закупки, объема и существа заявки, включая изменение коммерческих условий заявки (цены, сроков и условий поставки, графика поставки или платежа, иных коммерческих условий)</w:t>
      </w:r>
      <w:r>
        <w:rPr>
          <w:sz w:val="22"/>
          <w:szCs w:val="22"/>
        </w:rPr>
        <w:t xml:space="preserve"> или технических условий заявки (номенклатуры предлагаемой участником конкурентной закупки товара (работ, услуг), ее технических характеристик, иных технических условий), что при уточнении заявок на участие Заказчиком не должны создаваться преимущественные</w:t>
      </w:r>
      <w:r>
        <w:rPr>
          <w:sz w:val="22"/>
          <w:szCs w:val="22"/>
        </w:rPr>
        <w:t xml:space="preserve"> условия участнику или нескольким участникам конкурентной закупки. </w:t>
      </w:r>
      <w:r>
        <w:rPr>
          <w:sz w:val="22"/>
          <w:szCs w:val="22"/>
        </w:rPr>
      </w:r>
    </w:p>
    <w:p>
      <w:pPr>
        <w:pBdr/>
        <w:spacing w:line="240" w:lineRule="auto"/>
        <w:ind w:firstLine="709"/>
        <w:rPr>
          <w:sz w:val="22"/>
          <w:szCs w:val="22"/>
        </w:rPr>
      </w:pPr>
      <w:r>
        <w:rPr>
          <w:sz w:val="22"/>
          <w:szCs w:val="22"/>
        </w:rPr>
        <w:t xml:space="preserve">16.2. Запросы участникам закупки о предоставлении информации направляются через электронную площадку, на которой проводится закупка с соблюдением следующих требований: </w:t>
      </w:r>
      <w:r>
        <w:rPr>
          <w:sz w:val="22"/>
          <w:szCs w:val="22"/>
        </w:rPr>
      </w:r>
    </w:p>
    <w:p>
      <w:pPr>
        <w:pBdr/>
        <w:spacing w:line="240" w:lineRule="auto"/>
        <w:ind w:firstLine="709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>
        <w:rPr>
          <w:sz w:val="22"/>
          <w:szCs w:val="22"/>
        </w:rPr>
        <w:t xml:space="preserve">дозапрос</w:t>
      </w:r>
      <w:r>
        <w:rPr>
          <w:sz w:val="22"/>
          <w:szCs w:val="22"/>
        </w:rPr>
        <w:t xml:space="preserve"> направляется в отношении документов и сведений, предоставление которых предусмотрено документацией о закупке, </w:t>
      </w:r>
      <w:r>
        <w:rPr>
          <w:sz w:val="22"/>
          <w:szCs w:val="22"/>
        </w:rPr>
      </w:r>
    </w:p>
    <w:p>
      <w:pPr>
        <w:pBdr/>
        <w:spacing w:line="240" w:lineRule="auto"/>
        <w:ind w:firstLine="709"/>
        <w:rPr>
          <w:sz w:val="22"/>
          <w:szCs w:val="22"/>
        </w:rPr>
      </w:pPr>
      <w:r>
        <w:rPr>
          <w:sz w:val="22"/>
          <w:szCs w:val="22"/>
        </w:rPr>
        <w:t xml:space="preserve">- заказчик оповещает всех участников об отсутствующих в их заявках документах и предоставляет равный срок на их представление,</w:t>
      </w:r>
      <w:r>
        <w:rPr>
          <w:sz w:val="22"/>
          <w:szCs w:val="22"/>
        </w:rPr>
      </w:r>
    </w:p>
    <w:p>
      <w:pPr>
        <w:pBdr/>
        <w:spacing w:line="240" w:lineRule="auto"/>
        <w:ind w:firstLine="709"/>
        <w:rPr>
          <w:sz w:val="22"/>
          <w:szCs w:val="22"/>
        </w:rPr>
      </w:pPr>
      <w:r>
        <w:rPr>
          <w:sz w:val="22"/>
          <w:szCs w:val="22"/>
        </w:rPr>
        <w:t xml:space="preserve">- может быть </w:t>
      </w:r>
      <w:r>
        <w:rPr>
          <w:sz w:val="22"/>
          <w:szCs w:val="22"/>
        </w:rPr>
        <w:t xml:space="preserve">направлен</w:t>
      </w:r>
      <w:r>
        <w:rPr>
          <w:sz w:val="22"/>
          <w:szCs w:val="22"/>
        </w:rPr>
        <w:t xml:space="preserve"> однократно. </w:t>
      </w:r>
      <w:r>
        <w:rPr>
          <w:sz w:val="22"/>
          <w:szCs w:val="22"/>
        </w:rPr>
      </w:r>
    </w:p>
    <w:p>
      <w:pPr>
        <w:pBdr/>
        <w:spacing w:line="240" w:lineRule="auto"/>
        <w:ind w:firstLine="709"/>
        <w:rPr>
          <w:sz w:val="22"/>
          <w:szCs w:val="22"/>
        </w:rPr>
      </w:pPr>
      <w:r>
        <w:rPr>
          <w:sz w:val="22"/>
          <w:szCs w:val="22"/>
        </w:rPr>
        <w:t xml:space="preserve">16.3. Запрос не направляется участнику, в случае если имеются прямые основания для отклонения заявки такого участника.</w:t>
      </w:r>
      <w:r>
        <w:rPr>
          <w:sz w:val="22"/>
          <w:szCs w:val="22"/>
        </w:rPr>
      </w:r>
    </w:p>
    <w:p>
      <w:pPr>
        <w:pBdr/>
        <w:spacing w:line="240" w:lineRule="auto"/>
        <w:ind w:firstLine="709"/>
        <w:rPr>
          <w:sz w:val="22"/>
          <w:szCs w:val="22"/>
        </w:rPr>
      </w:pPr>
      <w:r>
        <w:rPr>
          <w:sz w:val="22"/>
          <w:szCs w:val="22"/>
        </w:rPr>
        <w:t xml:space="preserve">16.4. Срок предоставления участником закупки разъяснений устанавливается одинаковый для всех участников закупки, которым были направлены запросы, и не может превышать </w:t>
      </w:r>
      <w:r>
        <w:rPr>
          <w:sz w:val="22"/>
          <w:szCs w:val="22"/>
        </w:rPr>
        <w:t xml:space="preserve">2 (двух) рабочих дней со дня направления соответствующего запроса. Непредставление или представление не в полном объёме запрашиваемых документов и/или разъяснений в установленный в запросе срок служит основанием для отклонения предложения такого участника.</w:t>
      </w:r>
      <w:r>
        <w:rPr>
          <w:sz w:val="22"/>
          <w:szCs w:val="22"/>
        </w:rPr>
      </w:r>
    </w:p>
    <w:p>
      <w:pPr>
        <w:pBdr/>
        <w:spacing w:line="240" w:lineRule="auto"/>
        <w:ind w:firstLine="709"/>
        <w:rPr>
          <w:sz w:val="22"/>
          <w:szCs w:val="22"/>
        </w:rPr>
      </w:pPr>
      <w:r>
        <w:rPr>
          <w:sz w:val="22"/>
          <w:szCs w:val="22"/>
        </w:rPr>
        <w:t xml:space="preserve">16.5. Запрос на уточнение оформляется с соблюдением принципов справедливости и равноправия. Это означает, что:</w:t>
      </w:r>
      <w:r>
        <w:rPr>
          <w:sz w:val="22"/>
          <w:szCs w:val="22"/>
        </w:rPr>
      </w:r>
    </w:p>
    <w:p>
      <w:pPr>
        <w:pBdr/>
        <w:spacing w:line="240" w:lineRule="auto"/>
        <w:ind w:firstLine="709"/>
        <w:rPr>
          <w:sz w:val="22"/>
          <w:szCs w:val="22"/>
        </w:rPr>
      </w:pPr>
      <w:r>
        <w:rPr>
          <w:sz w:val="22"/>
          <w:szCs w:val="22"/>
        </w:rPr>
        <w:t xml:space="preserve">1)</w:t>
      </w:r>
      <w:r>
        <w:rPr>
          <w:sz w:val="22"/>
          <w:szCs w:val="22"/>
        </w:rPr>
        <w:tab/>
        <w:t xml:space="preserve">запросы направляются только тем участникам, в заявках которых обнаружены обстоятельства, требующие разъяснений;</w:t>
      </w:r>
      <w:r>
        <w:rPr>
          <w:sz w:val="22"/>
          <w:szCs w:val="22"/>
        </w:rPr>
      </w:r>
    </w:p>
    <w:p>
      <w:pPr>
        <w:pBdr/>
        <w:spacing w:line="240" w:lineRule="auto"/>
        <w:ind w:firstLine="709"/>
        <w:rPr>
          <w:sz w:val="22"/>
          <w:szCs w:val="22"/>
        </w:rPr>
      </w:pPr>
      <w:r>
        <w:rPr>
          <w:sz w:val="22"/>
          <w:szCs w:val="22"/>
        </w:rPr>
        <w:t xml:space="preserve">2)</w:t>
      </w:r>
      <w:r>
        <w:rPr>
          <w:sz w:val="22"/>
          <w:szCs w:val="22"/>
        </w:rPr>
        <w:tab/>
        <w:t xml:space="preserve">если </w:t>
      </w:r>
      <w:r>
        <w:rPr>
          <w:sz w:val="22"/>
          <w:szCs w:val="22"/>
        </w:rPr>
        <w:t xml:space="preserve">какому-либо</w:t>
      </w:r>
      <w:r>
        <w:rPr>
          <w:sz w:val="22"/>
          <w:szCs w:val="22"/>
        </w:rPr>
        <w:t xml:space="preserve"> из участников направляется запрос на разъяснение в силу обнаружения каких-либо обстоятельств, то аналогичные запросы направляются всем участникам, в заявках которых такие же обстоятельства были обнаружены.</w:t>
      </w:r>
      <w:r>
        <w:rPr>
          <w:sz w:val="22"/>
          <w:szCs w:val="22"/>
        </w:rPr>
      </w:r>
    </w:p>
    <w:p>
      <w:pPr>
        <w:widowControl w:val="false"/>
        <w:pBdr/>
        <w:spacing w:line="240" w:lineRule="auto"/>
        <w:ind w:firstLine="709"/>
        <w:rPr>
          <w:sz w:val="22"/>
          <w:szCs w:val="22"/>
        </w:rPr>
      </w:pPr>
      <w:r/>
      <w:bookmarkStart w:id="12" w:name="sub_99141"/>
      <w:r/>
      <w:bookmarkStart w:id="13" w:name="sub_124"/>
      <w:r>
        <w:rPr>
          <w:b/>
          <w:bCs/>
          <w:sz w:val="22"/>
          <w:szCs w:val="22"/>
        </w:rPr>
        <w:t xml:space="preserve">17. Отказ от проведения запроса котировок</w:t>
      </w:r>
      <w:bookmarkEnd w:id="12"/>
      <w:bookmarkEnd w:id="13"/>
      <w:r>
        <w:rPr>
          <w:sz w:val="22"/>
          <w:szCs w:val="22"/>
        </w:rPr>
      </w:r>
    </w:p>
    <w:p>
      <w:pPr>
        <w:pBdr/>
        <w:spacing w:line="240" w:lineRule="auto"/>
        <w:ind w:firstLine="709"/>
        <w:rPr>
          <w:color w:val="000000"/>
          <w:sz w:val="22"/>
          <w:szCs w:val="22"/>
        </w:rPr>
      </w:pPr>
      <w:r>
        <w:rPr>
          <w:rStyle w:val="787"/>
          <w:rFonts w:ascii="Times New Roman" w:hAnsi="Times New Roman"/>
          <w:sz w:val="22"/>
          <w:szCs w:val="22"/>
        </w:rPr>
        <w:t xml:space="preserve">17.1. Заказчик вправе принять решение об отказе от проведения запроса котировок до наступления даты и времени окончания срока подачи заявок на участие в запросе котировок.</w:t>
      </w:r>
      <w:r>
        <w:rPr>
          <w:color w:val="000000"/>
          <w:sz w:val="22"/>
          <w:szCs w:val="22"/>
        </w:rPr>
      </w:r>
    </w:p>
    <w:p>
      <w:pPr>
        <w:pBdr/>
        <w:spacing w:line="240" w:lineRule="auto"/>
        <w:ind w:firstLine="709"/>
        <w:rPr>
          <w:rStyle w:val="787"/>
          <w:rFonts w:ascii="Times New Roman" w:hAnsi="Times New Roman"/>
          <w:sz w:val="22"/>
          <w:szCs w:val="22"/>
        </w:rPr>
      </w:pPr>
      <w:r>
        <w:rPr>
          <w:rStyle w:val="787"/>
          <w:rFonts w:ascii="Times New Roman" w:hAnsi="Times New Roman"/>
          <w:sz w:val="22"/>
          <w:szCs w:val="22"/>
        </w:rPr>
        <w:t xml:space="preserve">17.2. В случае принятия решения об отказе от проведения запр</w:t>
      </w:r>
      <w:r>
        <w:rPr>
          <w:rStyle w:val="787"/>
          <w:rFonts w:ascii="Times New Roman" w:hAnsi="Times New Roman"/>
          <w:sz w:val="22"/>
          <w:szCs w:val="22"/>
        </w:rPr>
        <w:t xml:space="preserve">оса котировок, заказчик в день принятия этого решения размещает сведения об отказе от проведения запроса котировок в единой информационной системе. Заказчик не несет обязательств или ответственности в случае не ознакомления участниками закупок с извещением</w:t>
      </w:r>
      <w:r>
        <w:rPr>
          <w:color w:val="000000"/>
          <w:sz w:val="22"/>
          <w:szCs w:val="22"/>
        </w:rPr>
        <w:t xml:space="preserve"> </w:t>
      </w:r>
      <w:r>
        <w:rPr>
          <w:rStyle w:val="787"/>
          <w:rFonts w:ascii="Times New Roman" w:hAnsi="Times New Roman"/>
          <w:sz w:val="22"/>
          <w:szCs w:val="22"/>
        </w:rPr>
        <w:t xml:space="preserve">об отказе от проведения запроса котировок. </w:t>
      </w:r>
      <w:r>
        <w:rPr>
          <w:rStyle w:val="787"/>
          <w:rFonts w:ascii="Times New Roman" w:hAnsi="Times New Roman"/>
          <w:sz w:val="22"/>
          <w:szCs w:val="22"/>
        </w:rPr>
      </w:r>
    </w:p>
    <w:p>
      <w:pPr>
        <w:pBdr/>
        <w:tabs>
          <w:tab w:val="left" w:leader="none" w:pos="600"/>
          <w:tab w:val="left" w:leader="none" w:pos="840"/>
          <w:tab w:val="left" w:leader="none" w:pos="960"/>
          <w:tab w:val="left" w:leader="none" w:pos="1080"/>
          <w:tab w:val="left" w:leader="none" w:pos="1260"/>
          <w:tab w:val="left" w:leader="none" w:pos="1740"/>
        </w:tabs>
        <w:spacing w:line="240" w:lineRule="auto"/>
        <w:ind/>
        <w:rPr>
          <w:b/>
          <w:bCs/>
          <w:sz w:val="24"/>
          <w:szCs w:val="24"/>
        </w:rPr>
      </w:pPr>
      <w:r/>
      <w:bookmarkStart w:id="14" w:name="_Hlk189820156"/>
      <w:r>
        <w:rPr>
          <w:rStyle w:val="787"/>
          <w:rFonts w:ascii="Times New Roman" w:hAnsi="Times New Roman"/>
          <w:b/>
          <w:bCs/>
          <w:sz w:val="22"/>
          <w:szCs w:val="22"/>
        </w:rPr>
        <w:t xml:space="preserve">18. </w:t>
      </w:r>
      <w:r>
        <w:rPr>
          <w:b/>
          <w:bCs/>
          <w:sz w:val="24"/>
          <w:szCs w:val="24"/>
        </w:rPr>
        <w:t xml:space="preserve">Применение национального режима при исполнении договора</w:t>
      </w:r>
      <w:r>
        <w:rPr>
          <w:b/>
          <w:bCs/>
          <w:sz w:val="24"/>
          <w:szCs w:val="24"/>
        </w:rPr>
      </w:r>
    </w:p>
    <w:tbl>
      <w:tblPr>
        <w:tblInd w:w="-714" w:type="dxa"/>
        <w:tblW w:w="1074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402"/>
        <w:gridCol w:w="6634"/>
      </w:tblGrid>
      <w:tr>
        <w:trPr>
          <w:trHeight w:val="983"/>
        </w:trPr>
        <w:tc>
          <w:tcPr>
            <w:tcBorders/>
            <w:tcW w:w="709" w:type="dxa"/>
            <w:textDirection w:val="lrTb"/>
            <w:noWrap w:val="false"/>
          </w:tcPr>
          <w:p>
            <w:pPr>
              <w:pBdr/>
              <w:tabs>
                <w:tab w:val="left" w:leader="none" w:pos="600"/>
                <w:tab w:val="left" w:leader="none" w:pos="840"/>
                <w:tab w:val="left" w:leader="none" w:pos="960"/>
                <w:tab w:val="left" w:leader="none" w:pos="1080"/>
                <w:tab w:val="left" w:leader="none" w:pos="1260"/>
                <w:tab w:val="left" w:leader="none" w:pos="1740"/>
              </w:tabs>
              <w:spacing w:line="240" w:lineRule="auto"/>
              <w:ind w:firstLine="0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18.1</w:t>
            </w:r>
            <w:r>
              <w:rPr>
                <w:bCs/>
                <w:sz w:val="22"/>
                <w:szCs w:val="22"/>
                <w:lang w:eastAsia="en-US"/>
              </w:rPr>
            </w:r>
          </w:p>
        </w:tc>
        <w:tc>
          <w:tcPr>
            <w:tcBorders/>
            <w:tcW w:w="3402" w:type="dxa"/>
            <w:textDirection w:val="lrTb"/>
            <w:noWrap w:val="false"/>
          </w:tcPr>
          <w:p>
            <w:pPr>
              <w:pBdr/>
              <w:tabs>
                <w:tab w:val="left" w:leader="none" w:pos="600"/>
                <w:tab w:val="left" w:leader="none" w:pos="840"/>
                <w:tab w:val="left" w:leader="none" w:pos="960"/>
                <w:tab w:val="left" w:leader="none" w:pos="1080"/>
                <w:tab w:val="left" w:leader="none" w:pos="1260"/>
                <w:tab w:val="left" w:leader="none" w:pos="1740"/>
              </w:tabs>
              <w:spacing w:line="240" w:lineRule="auto"/>
              <w:ind w:firstLine="0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В случае применения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bCs/>
                <w:sz w:val="22"/>
                <w:szCs w:val="22"/>
                <w:lang w:eastAsia="en-US"/>
              </w:rPr>
              <w:t xml:space="preserve">мер, устанавливающих</w:t>
            </w:r>
            <w:r>
              <w:rPr>
                <w:bCs/>
                <w:sz w:val="22"/>
                <w:szCs w:val="22"/>
                <w:lang w:eastAsia="en-US"/>
              </w:rPr>
            </w:r>
          </w:p>
          <w:p>
            <w:pPr>
              <w:pBdr/>
              <w:tabs>
                <w:tab w:val="left" w:leader="none" w:pos="600"/>
                <w:tab w:val="left" w:leader="none" w:pos="840"/>
                <w:tab w:val="left" w:leader="none" w:pos="960"/>
                <w:tab w:val="left" w:leader="none" w:pos="1080"/>
                <w:tab w:val="left" w:leader="none" w:pos="1260"/>
                <w:tab w:val="left" w:leader="none" w:pos="1740"/>
              </w:tabs>
              <w:spacing w:line="240" w:lineRule="auto"/>
              <w:ind w:firstLine="0"/>
              <w:rPr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запрет </w:t>
            </w:r>
            <w:r>
              <w:rPr>
                <w:bCs/>
                <w:sz w:val="22"/>
                <w:szCs w:val="22"/>
                <w:lang w:eastAsia="en-US"/>
              </w:rPr>
              <w:t xml:space="preserve">закупок товаров </w:t>
            </w:r>
            <w:r>
              <w:rPr>
                <w:color w:val="000000"/>
                <w:sz w:val="22"/>
                <w:szCs w:val="22"/>
                <w:lang w:eastAsia="en-US"/>
              </w:rPr>
              <w:t xml:space="preserve">(работ, услуг)</w:t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Borders/>
            <w:tcW w:w="6634" w:type="dxa"/>
            <w:textDirection w:val="lrTb"/>
            <w:noWrap w:val="false"/>
          </w:tcPr>
          <w:p>
            <w:pPr>
              <w:pBdr/>
              <w:tabs>
                <w:tab w:val="left" w:leader="none" w:pos="600"/>
                <w:tab w:val="left" w:leader="none" w:pos="840"/>
                <w:tab w:val="left" w:leader="none" w:pos="960"/>
                <w:tab w:val="left" w:leader="none" w:pos="1080"/>
                <w:tab w:val="left" w:leader="none" w:pos="1260"/>
                <w:tab w:val="left" w:leader="none" w:pos="1740"/>
              </w:tabs>
              <w:spacing w:line="240" w:lineRule="auto"/>
              <w:ind w:firstLine="0"/>
              <w:rPr>
                <w:bCs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Не допускается</w:t>
            </w:r>
            <w:r>
              <w:rPr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bCs/>
                <w:sz w:val="22"/>
                <w:szCs w:val="22"/>
                <w:lang w:eastAsia="en-US"/>
              </w:rPr>
            </w:r>
          </w:p>
          <w:p>
            <w:pPr>
              <w:widowControl w:val="false"/>
              <w:numPr>
                <w:ilvl w:val="0"/>
                <w:numId w:val="16"/>
              </w:numPr>
              <w:pBdr/>
              <w:tabs>
                <w:tab w:val="left" w:leader="none" w:pos="463"/>
                <w:tab w:val="left" w:leader="none" w:pos="600"/>
                <w:tab w:val="left" w:leader="none" w:pos="960"/>
                <w:tab w:val="left" w:leader="none" w:pos="1080"/>
                <w:tab w:val="left" w:leader="none" w:pos="1260"/>
                <w:tab w:val="left" w:leader="none" w:pos="1740"/>
              </w:tabs>
              <w:spacing w:after="160" w:line="240" w:lineRule="auto"/>
              <w:ind w:hanging="38" w:left="38"/>
              <w:contextualSpacing w:val="true"/>
              <w:jc w:val="left"/>
              <w:rPr>
                <w:bCs/>
                <w:sz w:val="22"/>
                <w:szCs w:val="22"/>
                <w:lang w:eastAsia="zh-CN" w:bidi="hi-IN"/>
              </w:rPr>
            </w:pPr>
            <w:r>
              <w:rPr>
                <w:bCs/>
                <w:sz w:val="22"/>
                <w:szCs w:val="22"/>
                <w:lang w:eastAsia="zh-CN" w:bidi="hi-IN"/>
              </w:rPr>
              <w:t xml:space="preserve">замена при исполнении договора на товар, происходящий из иностранного государства товар, в отношении которого установлен запрет</w:t>
            </w:r>
            <w:r>
              <w:rPr>
                <w:bCs/>
                <w:sz w:val="22"/>
                <w:szCs w:val="22"/>
                <w:lang w:eastAsia="zh-CN" w:bidi="hi-IN"/>
              </w:rPr>
            </w:r>
          </w:p>
          <w:p>
            <w:pPr>
              <w:widowControl w:val="false"/>
              <w:numPr>
                <w:ilvl w:val="0"/>
                <w:numId w:val="16"/>
              </w:numPr>
              <w:pBdr/>
              <w:tabs>
                <w:tab w:val="left" w:leader="none" w:pos="434"/>
                <w:tab w:val="left" w:leader="none" w:pos="600"/>
                <w:tab w:val="left" w:leader="none" w:pos="960"/>
                <w:tab w:val="left" w:leader="none" w:pos="1080"/>
                <w:tab w:val="left" w:leader="none" w:pos="1260"/>
                <w:tab w:val="left" w:leader="none" w:pos="1740"/>
              </w:tabs>
              <w:spacing w:after="160" w:line="240" w:lineRule="auto"/>
              <w:ind w:firstLine="8" w:left="0"/>
              <w:contextualSpacing w:val="true"/>
              <w:jc w:val="left"/>
              <w:rPr>
                <w:bCs/>
                <w:sz w:val="22"/>
                <w:szCs w:val="22"/>
                <w:lang w:eastAsia="zh-CN" w:bidi="hi-IN"/>
              </w:rPr>
            </w:pPr>
            <w:r>
              <w:rPr>
                <w:bCs/>
                <w:sz w:val="22"/>
                <w:szCs w:val="22"/>
                <w:lang w:eastAsia="zh-CN" w:bidi="hi-IN"/>
              </w:rPr>
              <w:t xml:space="preserve">замена подрядчика (исполнителя), с которым заключен договор, на иностранное лицо, которое зарегистрировано на территории иностранного государства, в отношении которого </w:t>
            </w:r>
            <w:r>
              <w:rPr>
                <w:bCs/>
                <w:sz w:val="22"/>
                <w:szCs w:val="22"/>
                <w:lang w:eastAsia="zh-CN" w:bidi="hi-IN"/>
              </w:rPr>
              <w:t xml:space="preserve">установлен данный запрет</w:t>
            </w:r>
            <w:r>
              <w:rPr>
                <w:bCs/>
                <w:sz w:val="22"/>
                <w:szCs w:val="22"/>
                <w:lang w:eastAsia="zh-CN" w:bidi="hi-IN"/>
              </w:rPr>
            </w:r>
          </w:p>
        </w:tc>
      </w:tr>
      <w:tr>
        <w:trPr>
          <w:trHeight w:val="983"/>
        </w:trPr>
        <w:tc>
          <w:tcPr>
            <w:tcBorders/>
            <w:tcW w:w="709" w:type="dxa"/>
            <w:textDirection w:val="lrTb"/>
            <w:noWrap w:val="false"/>
          </w:tcPr>
          <w:p>
            <w:pPr>
              <w:pBdr/>
              <w:tabs>
                <w:tab w:val="left" w:leader="none" w:pos="600"/>
                <w:tab w:val="left" w:leader="none" w:pos="840"/>
                <w:tab w:val="left" w:leader="none" w:pos="960"/>
                <w:tab w:val="left" w:leader="none" w:pos="1080"/>
                <w:tab w:val="left" w:leader="none" w:pos="1260"/>
                <w:tab w:val="left" w:leader="none" w:pos="1740"/>
              </w:tabs>
              <w:spacing w:line="240" w:lineRule="auto"/>
              <w:ind w:firstLine="0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18.2</w:t>
            </w:r>
            <w:r>
              <w:rPr>
                <w:bCs/>
                <w:sz w:val="22"/>
                <w:szCs w:val="22"/>
                <w:lang w:eastAsia="en-US"/>
              </w:rPr>
            </w:r>
          </w:p>
        </w:tc>
        <w:tc>
          <w:tcPr>
            <w:tcBorders/>
            <w:tcW w:w="3402" w:type="dxa"/>
            <w:textDirection w:val="lrTb"/>
            <w:noWrap w:val="false"/>
          </w:tcPr>
          <w:p>
            <w:pPr>
              <w:pBdr/>
              <w:tabs>
                <w:tab w:val="left" w:leader="none" w:pos="600"/>
                <w:tab w:val="left" w:leader="none" w:pos="840"/>
                <w:tab w:val="left" w:leader="none" w:pos="960"/>
                <w:tab w:val="left" w:leader="none" w:pos="1080"/>
                <w:tab w:val="left" w:leader="none" w:pos="1260"/>
                <w:tab w:val="left" w:leader="none" w:pos="1740"/>
              </w:tabs>
              <w:spacing w:line="240" w:lineRule="auto"/>
              <w:ind w:firstLine="0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Применение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bCs/>
                <w:sz w:val="22"/>
                <w:szCs w:val="22"/>
                <w:lang w:eastAsia="en-US"/>
              </w:rPr>
              <w:t xml:space="preserve">мер, </w:t>
            </w:r>
            <w:r>
              <w:rPr>
                <w:bCs/>
                <w:sz w:val="22"/>
                <w:szCs w:val="22"/>
                <w:lang w:eastAsia="en-US"/>
              </w:rPr>
              <w:t xml:space="preserve">устанавливающие</w:t>
            </w:r>
            <w:r>
              <w:rPr>
                <w:bCs/>
                <w:sz w:val="22"/>
                <w:szCs w:val="22"/>
                <w:lang w:eastAsia="en-US"/>
              </w:rPr>
            </w:r>
          </w:p>
          <w:p>
            <w:pPr>
              <w:pBdr/>
              <w:tabs>
                <w:tab w:val="left" w:leader="none" w:pos="600"/>
                <w:tab w:val="left" w:leader="none" w:pos="840"/>
                <w:tab w:val="left" w:leader="none" w:pos="960"/>
                <w:tab w:val="left" w:leader="none" w:pos="1080"/>
                <w:tab w:val="left" w:leader="none" w:pos="1260"/>
                <w:tab w:val="left" w:leader="none" w:pos="1740"/>
              </w:tabs>
              <w:spacing w:line="240" w:lineRule="auto"/>
              <w:ind w:firstLine="0"/>
              <w:rPr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ограничение</w:t>
            </w:r>
            <w:r>
              <w:rPr>
                <w:bCs/>
                <w:sz w:val="22"/>
                <w:szCs w:val="22"/>
                <w:lang w:eastAsia="en-US"/>
              </w:rPr>
              <w:t xml:space="preserve"> закупок товаров </w:t>
            </w:r>
            <w:r>
              <w:rPr>
                <w:color w:val="000000"/>
                <w:sz w:val="22"/>
                <w:szCs w:val="22"/>
                <w:lang w:eastAsia="en-US"/>
              </w:rPr>
              <w:t xml:space="preserve">(работ, услуг)</w:t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Borders/>
            <w:tcW w:w="6634" w:type="dxa"/>
            <w:textDirection w:val="lrTb"/>
            <w:noWrap w:val="false"/>
          </w:tcPr>
          <w:p>
            <w:pPr>
              <w:pBdr/>
              <w:tabs>
                <w:tab w:val="left" w:leader="none" w:pos="600"/>
                <w:tab w:val="left" w:leader="none" w:pos="840"/>
                <w:tab w:val="left" w:leader="none" w:pos="960"/>
                <w:tab w:val="left" w:leader="none" w:pos="1080"/>
                <w:tab w:val="left" w:leader="none" w:pos="1260"/>
                <w:tab w:val="left" w:leader="none" w:pos="1740"/>
              </w:tabs>
              <w:spacing w:line="240" w:lineRule="auto"/>
              <w:ind w:firstLine="0"/>
              <w:rPr>
                <w:bCs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Не допускается</w:t>
            </w:r>
            <w:r>
              <w:rPr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bCs/>
                <w:sz w:val="22"/>
                <w:szCs w:val="22"/>
                <w:lang w:eastAsia="en-US"/>
              </w:rPr>
            </w:r>
          </w:p>
          <w:p>
            <w:pPr>
              <w:widowControl w:val="false"/>
              <w:numPr>
                <w:ilvl w:val="0"/>
                <w:numId w:val="16"/>
              </w:numPr>
              <w:pBdr/>
              <w:tabs>
                <w:tab w:val="left" w:leader="none" w:pos="463"/>
                <w:tab w:val="left" w:leader="none" w:pos="600"/>
                <w:tab w:val="left" w:leader="none" w:pos="960"/>
                <w:tab w:val="left" w:leader="none" w:pos="1080"/>
                <w:tab w:val="left" w:leader="none" w:pos="1260"/>
                <w:tab w:val="left" w:leader="none" w:pos="1740"/>
              </w:tabs>
              <w:spacing w:after="160" w:line="240" w:lineRule="auto"/>
              <w:ind w:hanging="38" w:left="38"/>
              <w:contextualSpacing w:val="true"/>
              <w:jc w:val="left"/>
              <w:rPr>
                <w:bCs/>
                <w:sz w:val="22"/>
                <w:szCs w:val="22"/>
                <w:lang w:eastAsia="zh-CN" w:bidi="hi-IN"/>
              </w:rPr>
            </w:pPr>
            <w:r>
              <w:rPr>
                <w:bCs/>
                <w:sz w:val="22"/>
                <w:szCs w:val="22"/>
                <w:lang w:eastAsia="zh-CN" w:bidi="hi-IN"/>
              </w:rPr>
              <w:t xml:space="preserve">замена при исполнении договора на товар, происходящий из иностранного государства, в отношении которого установлено данное ограничение, </w:t>
            </w:r>
            <w:r>
              <w:rPr>
                <w:b/>
                <w:sz w:val="22"/>
                <w:szCs w:val="22"/>
                <w:lang w:eastAsia="zh-CN" w:bidi="hi-IN"/>
              </w:rPr>
              <w:t xml:space="preserve">если</w:t>
            </w:r>
            <w:r>
              <w:rPr>
                <w:bCs/>
                <w:sz w:val="22"/>
                <w:szCs w:val="22"/>
                <w:lang w:eastAsia="zh-CN" w:bidi="hi-IN"/>
              </w:rPr>
              <w:t xml:space="preserve"> договор предусматривает поставку товара российского происхождения</w:t>
            </w:r>
            <w:r>
              <w:rPr>
                <w:bCs/>
                <w:sz w:val="22"/>
                <w:szCs w:val="22"/>
                <w:lang w:eastAsia="zh-CN" w:bidi="hi-IN"/>
              </w:rPr>
            </w:r>
          </w:p>
          <w:p>
            <w:pPr>
              <w:widowControl w:val="false"/>
              <w:numPr>
                <w:ilvl w:val="0"/>
                <w:numId w:val="16"/>
              </w:numPr>
              <w:pBdr/>
              <w:tabs>
                <w:tab w:val="left" w:leader="none" w:pos="600"/>
                <w:tab w:val="left" w:leader="none" w:pos="840"/>
                <w:tab w:val="left" w:leader="none" w:pos="960"/>
                <w:tab w:val="left" w:leader="none" w:pos="1080"/>
                <w:tab w:val="left" w:leader="none" w:pos="1260"/>
                <w:tab w:val="left" w:leader="none" w:pos="1740"/>
              </w:tabs>
              <w:spacing w:after="160" w:line="240" w:lineRule="auto"/>
              <w:ind w:firstLine="0" w:left="8"/>
              <w:contextualSpacing w:val="true"/>
              <w:jc w:val="left"/>
              <w:rPr>
                <w:bCs/>
                <w:sz w:val="22"/>
                <w:szCs w:val="22"/>
                <w:lang w:eastAsia="zh-CN" w:bidi="hi-IN"/>
              </w:rPr>
            </w:pPr>
            <w:r>
              <w:rPr>
                <w:bCs/>
                <w:sz w:val="22"/>
                <w:szCs w:val="22"/>
                <w:lang w:eastAsia="zh-CN" w:bidi="hi-IN"/>
              </w:rPr>
              <w:t xml:space="preserve">замена подрядчика (исполнителя), с которым заключен договор, на иностранное лицо, которое зарегистрировано на территории иностранного государства, в отношении которого установлено данное ограничение, </w:t>
            </w:r>
            <w:r>
              <w:rPr>
                <w:b/>
                <w:sz w:val="22"/>
                <w:szCs w:val="22"/>
                <w:lang w:eastAsia="zh-CN" w:bidi="hi-IN"/>
              </w:rPr>
              <w:t xml:space="preserve">если</w:t>
            </w:r>
            <w:r>
              <w:rPr>
                <w:bCs/>
                <w:sz w:val="22"/>
                <w:szCs w:val="22"/>
                <w:lang w:eastAsia="zh-CN" w:bidi="hi-IN"/>
              </w:rPr>
              <w:t xml:space="preserve"> договор заключен с российским лицом</w:t>
            </w:r>
            <w:r>
              <w:rPr>
                <w:bCs/>
                <w:sz w:val="22"/>
                <w:szCs w:val="22"/>
                <w:lang w:eastAsia="zh-CN" w:bidi="hi-IN"/>
              </w:rPr>
            </w:r>
          </w:p>
        </w:tc>
      </w:tr>
      <w:tr>
        <w:trPr>
          <w:trHeight w:val="983"/>
        </w:trPr>
        <w:tc>
          <w:tcPr>
            <w:tcBorders/>
            <w:tcW w:w="709" w:type="dxa"/>
            <w:textDirection w:val="lrTb"/>
            <w:noWrap w:val="false"/>
          </w:tcPr>
          <w:p>
            <w:pPr>
              <w:pBdr/>
              <w:tabs>
                <w:tab w:val="left" w:leader="none" w:pos="600"/>
                <w:tab w:val="left" w:leader="none" w:pos="840"/>
                <w:tab w:val="left" w:leader="none" w:pos="960"/>
                <w:tab w:val="left" w:leader="none" w:pos="1080"/>
                <w:tab w:val="left" w:leader="none" w:pos="1260"/>
                <w:tab w:val="left" w:leader="none" w:pos="1740"/>
              </w:tabs>
              <w:spacing w:line="240" w:lineRule="auto"/>
              <w:ind w:firstLine="0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18.3</w:t>
            </w:r>
            <w:r>
              <w:rPr>
                <w:bCs/>
                <w:sz w:val="22"/>
                <w:szCs w:val="22"/>
                <w:lang w:eastAsia="en-US"/>
              </w:rPr>
            </w:r>
          </w:p>
        </w:tc>
        <w:tc>
          <w:tcPr>
            <w:tcBorders/>
            <w:tcW w:w="3402" w:type="dxa"/>
            <w:textDirection w:val="lrTb"/>
            <w:noWrap w:val="false"/>
          </w:tcPr>
          <w:p>
            <w:pPr>
              <w:pBdr/>
              <w:tabs>
                <w:tab w:val="left" w:leader="none" w:pos="600"/>
                <w:tab w:val="left" w:leader="none" w:pos="840"/>
                <w:tab w:val="left" w:leader="none" w:pos="960"/>
                <w:tab w:val="left" w:leader="none" w:pos="1080"/>
                <w:tab w:val="left" w:leader="none" w:pos="1260"/>
                <w:tab w:val="left" w:leader="none" w:pos="1740"/>
              </w:tabs>
              <w:spacing w:line="240" w:lineRule="auto"/>
              <w:ind w:firstLine="0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Применение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bCs/>
                <w:sz w:val="22"/>
                <w:szCs w:val="22"/>
                <w:lang w:eastAsia="en-US"/>
              </w:rPr>
              <w:t xml:space="preserve">мер, </w:t>
            </w:r>
            <w:r>
              <w:rPr>
                <w:bCs/>
                <w:sz w:val="22"/>
                <w:szCs w:val="22"/>
                <w:lang w:eastAsia="en-US"/>
              </w:rPr>
              <w:t xml:space="preserve">устанавливающие</w:t>
            </w:r>
            <w:r>
              <w:rPr>
                <w:bCs/>
                <w:sz w:val="22"/>
                <w:szCs w:val="22"/>
                <w:lang w:eastAsia="en-US"/>
              </w:rPr>
            </w:r>
          </w:p>
          <w:p>
            <w:pPr>
              <w:pBdr/>
              <w:tabs>
                <w:tab w:val="left" w:leader="none" w:pos="600"/>
                <w:tab w:val="left" w:leader="none" w:pos="840"/>
                <w:tab w:val="left" w:leader="none" w:pos="960"/>
                <w:tab w:val="left" w:leader="none" w:pos="1080"/>
                <w:tab w:val="left" w:leader="none" w:pos="1260"/>
                <w:tab w:val="left" w:leader="none" w:pos="1740"/>
              </w:tabs>
              <w:spacing w:line="240" w:lineRule="auto"/>
              <w:ind w:firstLine="0"/>
              <w:rPr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преимущество</w:t>
            </w:r>
            <w:r>
              <w:rPr>
                <w:bCs/>
                <w:sz w:val="22"/>
                <w:szCs w:val="22"/>
                <w:lang w:eastAsia="en-US"/>
              </w:rPr>
              <w:t xml:space="preserve"> закупок товаров </w:t>
            </w:r>
            <w:r>
              <w:rPr>
                <w:color w:val="000000"/>
                <w:sz w:val="22"/>
                <w:szCs w:val="22"/>
                <w:lang w:eastAsia="en-US"/>
              </w:rPr>
              <w:t xml:space="preserve">(работ, услуг)</w:t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Borders/>
            <w:tcW w:w="6634" w:type="dxa"/>
            <w:textDirection w:val="lrTb"/>
            <w:noWrap w:val="false"/>
          </w:tcPr>
          <w:p>
            <w:pPr>
              <w:pBdr/>
              <w:tabs>
                <w:tab w:val="left" w:leader="none" w:pos="600"/>
                <w:tab w:val="left" w:leader="none" w:pos="840"/>
                <w:tab w:val="left" w:leader="none" w:pos="960"/>
                <w:tab w:val="left" w:leader="none" w:pos="1080"/>
                <w:tab w:val="left" w:leader="none" w:pos="1260"/>
                <w:tab w:val="left" w:leader="none" w:pos="1740"/>
              </w:tabs>
              <w:spacing w:line="240" w:lineRule="auto"/>
              <w:ind w:firstLine="0"/>
              <w:rPr>
                <w:b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При исполнении договора </w:t>
            </w:r>
            <w:r>
              <w:rPr>
                <w:b/>
                <w:sz w:val="22"/>
                <w:szCs w:val="22"/>
                <w:lang w:eastAsia="en-US"/>
              </w:rPr>
              <w:t xml:space="preserve">допускается:</w:t>
            </w:r>
            <w:r>
              <w:rPr>
                <w:b/>
                <w:sz w:val="22"/>
                <w:szCs w:val="22"/>
                <w:lang w:eastAsia="en-US"/>
              </w:rPr>
            </w:r>
          </w:p>
          <w:p>
            <w:pPr>
              <w:widowControl w:val="false"/>
              <w:numPr>
                <w:ilvl w:val="0"/>
                <w:numId w:val="17"/>
              </w:numPr>
              <w:pBdr/>
              <w:tabs>
                <w:tab w:val="left" w:leader="none" w:pos="360"/>
                <w:tab w:val="left" w:leader="none" w:pos="840"/>
                <w:tab w:val="left" w:leader="none" w:pos="960"/>
                <w:tab w:val="left" w:leader="none" w:pos="1080"/>
                <w:tab w:val="left" w:leader="none" w:pos="1260"/>
                <w:tab w:val="left" w:leader="none" w:pos="1740"/>
              </w:tabs>
              <w:spacing w:after="160" w:line="240" w:lineRule="auto"/>
              <w:ind w:firstLine="0" w:left="38"/>
              <w:contextualSpacing w:val="true"/>
              <w:jc w:val="left"/>
              <w:rPr>
                <w:bCs/>
                <w:sz w:val="22"/>
                <w:szCs w:val="22"/>
                <w:lang w:eastAsia="zh-CN" w:bidi="hi-IN"/>
              </w:rPr>
            </w:pPr>
            <w:r>
              <w:rPr>
                <w:bCs/>
                <w:sz w:val="22"/>
                <w:szCs w:val="22"/>
                <w:lang w:eastAsia="zh-CN" w:bidi="hi-IN"/>
              </w:rPr>
              <w:t xml:space="preserve"> замена товара исключительно на товар российского происхождения, если договор предусматривает поставку товара российского происхождения</w:t>
            </w:r>
            <w:r>
              <w:rPr>
                <w:bCs/>
                <w:sz w:val="22"/>
                <w:szCs w:val="22"/>
                <w:lang w:eastAsia="zh-CN" w:bidi="hi-IN"/>
              </w:rPr>
            </w:r>
          </w:p>
          <w:p>
            <w:pPr>
              <w:widowControl w:val="false"/>
              <w:numPr>
                <w:ilvl w:val="0"/>
                <w:numId w:val="17"/>
              </w:numPr>
              <w:pBdr/>
              <w:tabs>
                <w:tab w:val="left" w:leader="none" w:pos="360"/>
                <w:tab w:val="left" w:leader="none" w:pos="960"/>
                <w:tab w:val="left" w:leader="none" w:pos="1080"/>
                <w:tab w:val="left" w:leader="none" w:pos="1260"/>
                <w:tab w:val="left" w:leader="none" w:pos="1740"/>
              </w:tabs>
              <w:spacing w:after="160" w:line="240" w:lineRule="auto"/>
              <w:ind w:firstLine="0" w:left="8"/>
              <w:contextualSpacing w:val="true"/>
              <w:jc w:val="left"/>
              <w:rPr>
                <w:bCs/>
                <w:sz w:val="22"/>
                <w:szCs w:val="22"/>
                <w:lang w:eastAsia="zh-CN" w:bidi="hi-IN"/>
              </w:rPr>
            </w:pPr>
            <w:r>
              <w:rPr>
                <w:bCs/>
                <w:sz w:val="22"/>
                <w:szCs w:val="22"/>
                <w:lang w:eastAsia="zh-CN" w:bidi="hi-IN"/>
              </w:rPr>
              <w:t xml:space="preserve">перемена подрядчика (исполнителя), с которым заключен договор, допускается исключительно на российское лицо, если договор заключен с российским лицом</w:t>
            </w:r>
            <w:r>
              <w:rPr>
                <w:bCs/>
                <w:sz w:val="22"/>
                <w:szCs w:val="22"/>
                <w:lang w:eastAsia="zh-CN" w:bidi="hi-IN"/>
              </w:rPr>
            </w:r>
          </w:p>
        </w:tc>
      </w:tr>
    </w:tbl>
    <w:p>
      <w:pPr>
        <w:pBdr/>
        <w:spacing w:line="240" w:lineRule="auto"/>
        <w:ind w:firstLine="709"/>
        <w:rPr>
          <w:rStyle w:val="787"/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  <w:r>
        <w:rPr>
          <w:rStyle w:val="787"/>
          <w:rFonts w:ascii="Times New Roman" w:hAnsi="Times New Roman"/>
          <w:sz w:val="22"/>
          <w:szCs w:val="22"/>
        </w:rPr>
      </w:r>
    </w:p>
    <w:p>
      <w:pPr>
        <w:pBdr/>
        <w:tabs>
          <w:tab w:val="left" w:leader="none" w:pos="618"/>
        </w:tabs>
        <w:spacing w:line="240" w:lineRule="auto"/>
        <w:ind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</w:r>
      <w:bookmarkEnd w:id="14"/>
      <w:r>
        <w:rPr>
          <w:b/>
          <w:sz w:val="22"/>
          <w:szCs w:val="22"/>
        </w:rPr>
      </w:r>
    </w:p>
    <w:p>
      <w:pPr>
        <w:pBdr/>
        <w:tabs>
          <w:tab w:val="left" w:leader="none" w:pos="618"/>
        </w:tabs>
        <w:spacing w:line="240" w:lineRule="auto"/>
        <w:ind w:firstLine="0"/>
        <w:rPr>
          <w:b/>
          <w:sz w:val="22"/>
          <w:szCs w:val="22"/>
        </w:rPr>
      </w:pP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Bdr/>
        <w:tabs>
          <w:tab w:val="left" w:leader="none" w:pos="618"/>
        </w:tabs>
        <w:spacing w:line="240" w:lineRule="auto"/>
        <w:ind w:firstLine="0"/>
        <w:rPr>
          <w:b/>
          <w:sz w:val="22"/>
          <w:szCs w:val="22"/>
        </w:rPr>
      </w:pP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Bdr/>
        <w:tabs>
          <w:tab w:val="left" w:leader="none" w:pos="618"/>
        </w:tabs>
        <w:spacing w:line="240" w:lineRule="auto"/>
        <w:ind w:firstLine="0"/>
        <w:rPr>
          <w:b/>
          <w:sz w:val="22"/>
          <w:szCs w:val="22"/>
        </w:rPr>
      </w:pP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Bdr/>
        <w:tabs>
          <w:tab w:val="left" w:leader="none" w:pos="618"/>
        </w:tabs>
        <w:spacing w:line="240" w:lineRule="auto"/>
        <w:ind w:firstLine="0"/>
        <w:rPr>
          <w:b/>
          <w:sz w:val="22"/>
          <w:szCs w:val="22"/>
        </w:rPr>
      </w:pP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Bdr/>
        <w:tabs>
          <w:tab w:val="left" w:leader="none" w:pos="618"/>
        </w:tabs>
        <w:spacing w:line="240" w:lineRule="auto"/>
        <w:ind w:firstLine="0"/>
        <w:rPr>
          <w:b/>
          <w:sz w:val="22"/>
          <w:szCs w:val="22"/>
        </w:rPr>
      </w:pP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Bdr/>
        <w:tabs>
          <w:tab w:val="left" w:leader="none" w:pos="618"/>
        </w:tabs>
        <w:spacing w:line="240" w:lineRule="auto"/>
        <w:ind w:firstLine="0"/>
        <w:rPr>
          <w:b/>
          <w:sz w:val="22"/>
          <w:szCs w:val="22"/>
        </w:rPr>
      </w:pP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Bdr/>
        <w:tabs>
          <w:tab w:val="left" w:leader="none" w:pos="618"/>
        </w:tabs>
        <w:spacing w:line="240" w:lineRule="auto"/>
        <w:ind w:firstLine="0"/>
        <w:rPr>
          <w:b/>
          <w:sz w:val="22"/>
          <w:szCs w:val="22"/>
        </w:rPr>
      </w:pP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Bdr/>
        <w:tabs>
          <w:tab w:val="left" w:leader="none" w:pos="618"/>
        </w:tabs>
        <w:spacing w:line="240" w:lineRule="auto"/>
        <w:ind w:firstLine="0"/>
        <w:rPr>
          <w:b/>
          <w:sz w:val="22"/>
          <w:szCs w:val="22"/>
        </w:rPr>
      </w:pP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Bdr/>
        <w:tabs>
          <w:tab w:val="left" w:leader="none" w:pos="618"/>
        </w:tabs>
        <w:spacing w:line="240" w:lineRule="auto"/>
        <w:ind w:firstLine="0"/>
        <w:rPr>
          <w:b/>
          <w:sz w:val="22"/>
          <w:szCs w:val="22"/>
        </w:rPr>
      </w:pP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Bdr/>
        <w:tabs>
          <w:tab w:val="left" w:leader="none" w:pos="618"/>
        </w:tabs>
        <w:spacing w:line="240" w:lineRule="auto"/>
        <w:ind w:firstLine="0"/>
        <w:rPr>
          <w:b/>
          <w:sz w:val="22"/>
          <w:szCs w:val="22"/>
        </w:rPr>
      </w:pP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Bdr/>
        <w:tabs>
          <w:tab w:val="left" w:leader="none" w:pos="618"/>
        </w:tabs>
        <w:spacing w:line="240" w:lineRule="auto"/>
        <w:ind w:firstLine="0"/>
        <w:rPr>
          <w:b/>
          <w:sz w:val="22"/>
          <w:szCs w:val="22"/>
        </w:rPr>
      </w:pP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Bdr/>
        <w:tabs>
          <w:tab w:val="left" w:leader="none" w:pos="618"/>
        </w:tabs>
        <w:spacing w:line="240" w:lineRule="auto"/>
        <w:ind w:firstLine="0"/>
        <w:rPr>
          <w:b/>
          <w:sz w:val="22"/>
          <w:szCs w:val="22"/>
        </w:rPr>
      </w:pP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Bdr/>
        <w:tabs>
          <w:tab w:val="left" w:leader="none" w:pos="618"/>
        </w:tabs>
        <w:spacing w:line="240" w:lineRule="auto"/>
        <w:ind w:firstLine="0"/>
        <w:rPr>
          <w:b/>
          <w:sz w:val="22"/>
          <w:szCs w:val="22"/>
        </w:rPr>
      </w:pP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Bdr/>
        <w:tabs>
          <w:tab w:val="left" w:leader="none" w:pos="618"/>
        </w:tabs>
        <w:spacing w:line="240" w:lineRule="auto"/>
        <w:ind w:firstLine="0"/>
        <w:rPr>
          <w:b/>
          <w:sz w:val="22"/>
          <w:szCs w:val="22"/>
        </w:rPr>
      </w:pP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Bdr/>
        <w:tabs>
          <w:tab w:val="left" w:leader="none" w:pos="618"/>
        </w:tabs>
        <w:spacing w:line="240" w:lineRule="auto"/>
        <w:ind w:firstLine="0"/>
        <w:rPr>
          <w:b/>
          <w:sz w:val="22"/>
          <w:szCs w:val="22"/>
        </w:rPr>
      </w:pP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Bdr/>
        <w:tabs>
          <w:tab w:val="left" w:leader="none" w:pos="618"/>
        </w:tabs>
        <w:spacing w:line="240" w:lineRule="auto"/>
        <w:ind w:firstLine="0"/>
        <w:rPr>
          <w:b/>
          <w:sz w:val="22"/>
          <w:szCs w:val="22"/>
        </w:rPr>
      </w:pP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Bdr/>
        <w:tabs>
          <w:tab w:val="left" w:leader="none" w:pos="618"/>
        </w:tabs>
        <w:spacing w:line="240" w:lineRule="auto"/>
        <w:ind w:firstLine="0"/>
        <w:rPr>
          <w:b/>
          <w:sz w:val="22"/>
          <w:szCs w:val="22"/>
        </w:rPr>
      </w:pP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Bdr/>
        <w:tabs>
          <w:tab w:val="left" w:leader="none" w:pos="618"/>
        </w:tabs>
        <w:spacing w:line="240" w:lineRule="auto"/>
        <w:ind w:firstLine="0"/>
        <w:rPr>
          <w:b/>
          <w:sz w:val="22"/>
          <w:szCs w:val="22"/>
        </w:rPr>
      </w:pP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Bdr/>
        <w:tabs>
          <w:tab w:val="left" w:leader="none" w:pos="618"/>
        </w:tabs>
        <w:spacing w:line="240" w:lineRule="auto"/>
        <w:ind w:firstLine="0"/>
        <w:rPr>
          <w:b/>
          <w:sz w:val="22"/>
          <w:szCs w:val="22"/>
        </w:rPr>
      </w:pP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Bdr/>
        <w:tabs>
          <w:tab w:val="left" w:leader="none" w:pos="618"/>
        </w:tabs>
        <w:spacing w:line="240" w:lineRule="auto"/>
        <w:ind w:firstLine="0"/>
        <w:rPr>
          <w:b/>
          <w:sz w:val="22"/>
          <w:szCs w:val="22"/>
        </w:rPr>
      </w:pP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Bdr/>
        <w:tabs>
          <w:tab w:val="left" w:leader="none" w:pos="618"/>
        </w:tabs>
        <w:spacing w:line="240" w:lineRule="auto"/>
        <w:ind w:firstLine="0"/>
        <w:rPr>
          <w:b/>
          <w:sz w:val="22"/>
          <w:szCs w:val="22"/>
        </w:rPr>
      </w:pP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Bdr/>
        <w:tabs>
          <w:tab w:val="left" w:leader="none" w:pos="618"/>
        </w:tabs>
        <w:spacing w:line="240" w:lineRule="auto"/>
        <w:ind w:firstLine="0"/>
        <w:rPr>
          <w:b/>
          <w:sz w:val="22"/>
          <w:szCs w:val="22"/>
        </w:rPr>
      </w:pP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Bdr/>
        <w:tabs>
          <w:tab w:val="left" w:leader="none" w:pos="618"/>
        </w:tabs>
        <w:spacing w:line="240" w:lineRule="auto"/>
        <w:ind w:firstLine="0"/>
        <w:rPr>
          <w:b/>
          <w:sz w:val="22"/>
          <w:szCs w:val="22"/>
        </w:rPr>
      </w:pP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Bdr/>
        <w:tabs>
          <w:tab w:val="left" w:leader="none" w:pos="618"/>
        </w:tabs>
        <w:spacing w:line="240" w:lineRule="auto"/>
        <w:ind w:firstLine="0"/>
        <w:rPr>
          <w:b/>
          <w:sz w:val="22"/>
          <w:szCs w:val="22"/>
        </w:rPr>
      </w:pP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Bdr/>
        <w:tabs>
          <w:tab w:val="left" w:leader="none" w:pos="618"/>
        </w:tabs>
        <w:spacing w:line="240" w:lineRule="auto"/>
        <w:ind w:firstLine="0"/>
        <w:rPr>
          <w:b/>
          <w:sz w:val="22"/>
          <w:szCs w:val="22"/>
        </w:rPr>
      </w:pP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Bdr/>
        <w:tabs>
          <w:tab w:val="left" w:leader="none" w:pos="618"/>
        </w:tabs>
        <w:spacing w:line="240" w:lineRule="auto"/>
        <w:ind w:firstLine="0"/>
        <w:rPr>
          <w:b/>
          <w:sz w:val="22"/>
          <w:szCs w:val="22"/>
        </w:rPr>
      </w:pP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Bdr/>
        <w:tabs>
          <w:tab w:val="left" w:leader="none" w:pos="618"/>
        </w:tabs>
        <w:spacing w:line="240" w:lineRule="auto"/>
        <w:ind w:firstLine="0"/>
        <w:rPr>
          <w:b/>
          <w:sz w:val="22"/>
          <w:szCs w:val="22"/>
        </w:rPr>
      </w:pP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Bdr/>
        <w:tabs>
          <w:tab w:val="left" w:leader="none" w:pos="618"/>
        </w:tabs>
        <w:spacing w:line="240" w:lineRule="auto"/>
        <w:ind w:firstLine="0"/>
        <w:rPr>
          <w:b/>
          <w:sz w:val="22"/>
          <w:szCs w:val="22"/>
        </w:rPr>
      </w:pP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Bdr/>
        <w:tabs>
          <w:tab w:val="left" w:leader="none" w:pos="618"/>
        </w:tabs>
        <w:spacing w:line="240" w:lineRule="auto"/>
        <w:ind w:firstLine="0"/>
        <w:rPr>
          <w:b/>
          <w:sz w:val="22"/>
          <w:szCs w:val="22"/>
        </w:rPr>
      </w:pP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Bdr/>
        <w:tabs>
          <w:tab w:val="left" w:leader="none" w:pos="618"/>
        </w:tabs>
        <w:spacing w:line="240" w:lineRule="auto"/>
        <w:ind w:firstLine="0"/>
        <w:rPr>
          <w:b/>
          <w:sz w:val="22"/>
          <w:szCs w:val="22"/>
        </w:rPr>
      </w:pP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Bdr/>
        <w:tabs>
          <w:tab w:val="left" w:leader="none" w:pos="618"/>
        </w:tabs>
        <w:spacing w:line="240" w:lineRule="auto"/>
        <w:ind w:firstLine="0"/>
        <w:rPr>
          <w:b/>
          <w:sz w:val="22"/>
          <w:szCs w:val="22"/>
        </w:rPr>
      </w:pP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Bdr/>
        <w:tabs>
          <w:tab w:val="left" w:leader="none" w:pos="618"/>
        </w:tabs>
        <w:spacing w:line="240" w:lineRule="auto"/>
        <w:ind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Bdr/>
        <w:tabs>
          <w:tab w:val="left" w:leader="none" w:pos="618"/>
        </w:tabs>
        <w:spacing w:line="240" w:lineRule="auto"/>
        <w:ind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Bdr/>
        <w:tabs>
          <w:tab w:val="left" w:leader="none" w:pos="618"/>
        </w:tabs>
        <w:spacing w:line="240" w:lineRule="auto"/>
        <w:ind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Bdr/>
        <w:tabs>
          <w:tab w:val="left" w:leader="none" w:pos="618"/>
        </w:tabs>
        <w:spacing w:line="240" w:lineRule="auto"/>
        <w:ind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Часть 2. ПРОЕКТ ДОГОВОРА</w:t>
      </w:r>
      <w:r>
        <w:rPr>
          <w:b/>
          <w:sz w:val="22"/>
          <w:szCs w:val="22"/>
        </w:rPr>
      </w:r>
    </w:p>
    <w:p>
      <w:pPr>
        <w:pBdr/>
        <w:spacing w:line="240" w:lineRule="auto"/>
        <w:ind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ДОГОВОР ПОСТАВКИ №</w:t>
      </w:r>
      <w:r>
        <w:rPr>
          <w:b/>
          <w:sz w:val="22"/>
          <w:szCs w:val="22"/>
        </w:rPr>
      </w:r>
    </w:p>
    <w:tbl>
      <w:tblPr>
        <w:tblW w:w="0" w:type="auto"/>
        <w:tblBorders/>
        <w:tblLook w:val="01E0" w:firstRow="1" w:lastRow="1" w:firstColumn="1" w:lastColumn="1" w:noHBand="0" w:noVBand="0"/>
      </w:tblPr>
      <w:tblGrid>
        <w:gridCol w:w="4816"/>
        <w:gridCol w:w="4755"/>
      </w:tblGrid>
      <w:tr>
        <w:trPr/>
        <w:tc>
          <w:tcPr>
            <w:tcBorders/>
            <w:tcW w:w="5210" w:type="dxa"/>
            <w:textDirection w:val="lrTb"/>
            <w:noWrap w:val="false"/>
          </w:tcPr>
          <w:p>
            <w:pPr>
              <w:keepNext w:val="true"/>
              <w:keepLines w:val="true"/>
              <w:pBdr/>
              <w:spacing w:after="60" w:line="240" w:lineRule="auto"/>
              <w:ind w:firstLine="0"/>
              <w:rPr>
                <w:rFonts w:eastAsia="Cambria"/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 xml:space="preserve">г. Георгиевск</w:t>
            </w:r>
            <w:r>
              <w:rPr>
                <w:rFonts w:eastAsia="Cambria"/>
                <w:sz w:val="22"/>
                <w:szCs w:val="22"/>
                <w:lang w:eastAsia="ar-SA"/>
              </w:rPr>
            </w:r>
          </w:p>
        </w:tc>
        <w:tc>
          <w:tcPr>
            <w:tcBorders/>
            <w:tcW w:w="5211" w:type="dxa"/>
            <w:textDirection w:val="lrTb"/>
            <w:noWrap w:val="false"/>
          </w:tcPr>
          <w:p>
            <w:pPr>
              <w:keepNext w:val="true"/>
              <w:keepLines w:val="true"/>
              <w:pBdr/>
              <w:spacing w:after="60" w:line="240" w:lineRule="auto"/>
              <w:ind/>
              <w:rPr>
                <w:rFonts w:eastAsia="Cambria"/>
                <w:sz w:val="22"/>
                <w:szCs w:val="22"/>
                <w:lang w:eastAsia="ar-SA"/>
              </w:rPr>
            </w:pPr>
            <w:r>
              <w:rPr>
                <w:color w:val="000000"/>
                <w:sz w:val="22"/>
                <w:szCs w:val="22"/>
              </w:rPr>
              <w:t xml:space="preserve">         </w:t>
            </w:r>
            <w:r>
              <w:rPr>
                <w:color w:val="000000"/>
                <w:sz w:val="22"/>
                <w:szCs w:val="22"/>
              </w:rPr>
              <w:t xml:space="preserve">                     </w:t>
            </w:r>
            <w:r>
              <w:rPr>
                <w:color w:val="000000"/>
                <w:sz w:val="22"/>
                <w:szCs w:val="22"/>
              </w:rPr>
              <w:t xml:space="preserve">      «    »                2026</w:t>
            </w:r>
            <w:r>
              <w:rPr>
                <w:color w:val="000000"/>
                <w:sz w:val="22"/>
                <w:szCs w:val="22"/>
              </w:rPr>
              <w:t xml:space="preserve"> г.</w:t>
            </w:r>
            <w:r>
              <w:rPr>
                <w:rFonts w:eastAsia="Cambria"/>
                <w:sz w:val="22"/>
                <w:szCs w:val="22"/>
                <w:lang w:eastAsia="ar-SA"/>
              </w:rPr>
            </w:r>
          </w:p>
        </w:tc>
      </w:tr>
    </w:tbl>
    <w:p>
      <w:pPr>
        <w:pBdr/>
        <w:spacing w:line="240" w:lineRule="auto"/>
        <w:ind/>
        <w:rPr>
          <w:rFonts w:eastAsia="Cambria"/>
          <w:sz w:val="22"/>
          <w:szCs w:val="22"/>
          <w:lang w:eastAsia="ar-SA"/>
        </w:rPr>
      </w:pPr>
      <w:r>
        <w:rPr>
          <w:rFonts w:eastAsia="Cambria"/>
          <w:sz w:val="22"/>
          <w:szCs w:val="22"/>
          <w:lang w:eastAsia="ar-SA"/>
        </w:rPr>
      </w:r>
      <w:r>
        <w:rPr>
          <w:rFonts w:eastAsia="Cambria"/>
          <w:sz w:val="22"/>
          <w:szCs w:val="22"/>
          <w:lang w:eastAsia="ar-SA"/>
        </w:rPr>
      </w:r>
    </w:p>
    <w:p>
      <w:pPr>
        <w:pBdr/>
        <w:spacing w:line="240" w:lineRule="auto"/>
        <w:ind/>
        <w:rPr>
          <w:sz w:val="22"/>
          <w:szCs w:val="22"/>
        </w:rPr>
      </w:pPr>
      <w:r>
        <w:rPr>
          <w:b/>
          <w:sz w:val="22"/>
          <w:szCs w:val="22"/>
        </w:rPr>
        <w:t xml:space="preserve">Государственное автономное учреждение здравоохранения Ставропольского края «Георгиевская стоматологическая поликлиника»,</w:t>
      </w:r>
      <w:r>
        <w:rPr>
          <w:sz w:val="22"/>
          <w:szCs w:val="22"/>
        </w:rPr>
        <w:t xml:space="preserve"> в лице главного врача </w:t>
      </w:r>
      <w:r>
        <w:rPr>
          <w:sz w:val="22"/>
          <w:szCs w:val="22"/>
        </w:rPr>
        <w:t xml:space="preserve">Амбарцумова</w:t>
      </w:r>
      <w:r>
        <w:rPr>
          <w:sz w:val="22"/>
          <w:szCs w:val="22"/>
        </w:rPr>
        <w:t xml:space="preserve"> Дмитрия Эдуардовича, действующего на основании Устава</w:t>
      </w:r>
      <w:r>
        <w:rPr>
          <w:b/>
          <w:sz w:val="22"/>
          <w:szCs w:val="22"/>
        </w:rPr>
        <w:t xml:space="preserve">,</w:t>
      </w:r>
      <w:r>
        <w:rPr>
          <w:sz w:val="22"/>
          <w:szCs w:val="22"/>
        </w:rPr>
        <w:t xml:space="preserve"> именуемый в дальнейшем «Покупатель», с</w:t>
      </w:r>
      <w:r>
        <w:rPr>
          <w:spacing w:val="3"/>
          <w:sz w:val="22"/>
          <w:szCs w:val="22"/>
        </w:rPr>
        <w:t xml:space="preserve"> одной стороны, и </w:t>
      </w:r>
      <w:r>
        <w:rPr>
          <w:sz w:val="22"/>
          <w:szCs w:val="22"/>
        </w:rPr>
        <w:t xml:space="preserve">_____________________________________________________</w:t>
      </w:r>
      <w:r>
        <w:rPr>
          <w:spacing w:val="3"/>
          <w:sz w:val="22"/>
          <w:szCs w:val="22"/>
        </w:rPr>
        <w:t xml:space="preserve">,</w:t>
      </w:r>
      <w:r>
        <w:rPr>
          <w:sz w:val="22"/>
          <w:szCs w:val="22"/>
        </w:rPr>
        <w:t xml:space="preserve"> в лице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______________,</w:t>
      </w:r>
      <w:r>
        <w:rPr>
          <w:spacing w:val="3"/>
          <w:sz w:val="22"/>
          <w:szCs w:val="22"/>
        </w:rPr>
        <w:t xml:space="preserve"> действующего на основании </w:t>
      </w:r>
      <w:r>
        <w:rPr>
          <w:sz w:val="22"/>
          <w:szCs w:val="22"/>
        </w:rPr>
        <w:t xml:space="preserve">______________________________________________________</w:t>
      </w:r>
      <w:r>
        <w:rPr>
          <w:spacing w:val="3"/>
          <w:sz w:val="22"/>
          <w:szCs w:val="22"/>
        </w:rPr>
        <w:t xml:space="preserve">, именуемый  в дальнейшем «Продавец», с другой стороны</w:t>
      </w:r>
      <w:r>
        <w:rPr>
          <w:sz w:val="22"/>
          <w:szCs w:val="22"/>
        </w:rPr>
        <w:t xml:space="preserve">, по результатам запроса котировок от ____________</w:t>
      </w:r>
      <w:r>
        <w:rPr>
          <w:sz w:val="22"/>
          <w:szCs w:val="22"/>
        </w:rPr>
        <w:t xml:space="preserve">_2026</w:t>
      </w:r>
      <w:r>
        <w:rPr>
          <w:sz w:val="22"/>
          <w:szCs w:val="22"/>
        </w:rPr>
        <w:t xml:space="preserve"> г. года (протокол ________________________ года), заключили настоящий договор, именуемый в дальнейшем Договор, о нижеследующем:</w:t>
      </w:r>
      <w:r>
        <w:rPr>
          <w:sz w:val="22"/>
          <w:szCs w:val="22"/>
        </w:rPr>
      </w:r>
    </w:p>
    <w:p>
      <w:pPr>
        <w:pBdr/>
        <w:spacing w:line="240" w:lineRule="auto"/>
        <w:ind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 w:line="240" w:lineRule="auto"/>
        <w:ind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1.Предмет договора</w:t>
      </w:r>
      <w:r>
        <w:rPr>
          <w:b/>
          <w:sz w:val="22"/>
          <w:szCs w:val="22"/>
        </w:rPr>
      </w:r>
    </w:p>
    <w:p>
      <w:pPr>
        <w:pBdr/>
        <w:spacing w:line="240" w:lineRule="auto"/>
        <w:ind/>
        <w:rPr>
          <w:sz w:val="22"/>
          <w:szCs w:val="22"/>
        </w:rPr>
      </w:pPr>
      <w:r>
        <w:rPr>
          <w:sz w:val="22"/>
          <w:szCs w:val="22"/>
        </w:rPr>
        <w:t xml:space="preserve">1.1.В соответствии с настоящим Договором Продавец </w:t>
      </w:r>
      <w:r>
        <w:rPr>
          <w:sz w:val="22"/>
          <w:szCs w:val="22"/>
        </w:rPr>
        <w:t xml:space="preserve">в порядке и сроки, предусмотренные</w:t>
      </w:r>
      <w:r>
        <w:rPr>
          <w:sz w:val="22"/>
          <w:szCs w:val="22"/>
        </w:rPr>
        <w:t xml:space="preserve"> Договором,</w:t>
      </w:r>
      <w:r>
        <w:rPr>
          <w:sz w:val="22"/>
          <w:szCs w:val="22"/>
        </w:rPr>
        <w:t xml:space="preserve"> обязуется поставить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препараты стоматологические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для нужд </w:t>
      </w:r>
      <w:r>
        <w:rPr>
          <w:sz w:val="22"/>
          <w:szCs w:val="22"/>
        </w:rPr>
        <w:t xml:space="preserve">ортопедического отделения государственного </w:t>
      </w:r>
      <w:r>
        <w:rPr>
          <w:sz w:val="22"/>
          <w:szCs w:val="22"/>
        </w:rPr>
        <w:t xml:space="preserve">автономного учреждения здравоохранения Ставропольского края «Георгиевская стоматологическая поликлиника»</w:t>
      </w:r>
      <w:r>
        <w:rPr>
          <w:sz w:val="22"/>
          <w:szCs w:val="22"/>
        </w:rPr>
        <w:t xml:space="preserve"> (далее - товар) в соответствии со Спецификацией, а Покупатель обязуется принять и обеспечить своевременную оплату товара.</w:t>
      </w:r>
      <w:r>
        <w:rPr>
          <w:sz w:val="22"/>
          <w:szCs w:val="22"/>
        </w:rPr>
      </w:r>
    </w:p>
    <w:p>
      <w:pPr>
        <w:pStyle w:val="727"/>
        <w:widowControl w:val="true"/>
        <w:pBdr/>
        <w:spacing/>
        <w:ind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СПЕЦИФИКАЦИЯ НА ПОСТАВКУ ТОВАРА</w:t>
      </w:r>
      <w:r>
        <w:rPr>
          <w:rFonts w:ascii="Times New Roman" w:hAnsi="Times New Roman"/>
          <w:sz w:val="22"/>
          <w:szCs w:val="22"/>
        </w:rPr>
      </w:r>
    </w:p>
    <w:tbl>
      <w:tblPr>
        <w:tblInd w:w="-1168" w:type="dxa"/>
        <w:tblW w:w="1136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2395"/>
        <w:gridCol w:w="15"/>
        <w:gridCol w:w="851"/>
        <w:gridCol w:w="851"/>
        <w:gridCol w:w="851"/>
        <w:gridCol w:w="708"/>
        <w:gridCol w:w="4820"/>
        <w:gridCol w:w="28"/>
      </w:tblGrid>
      <w:tr>
        <w:trPr>
          <w:gridAfter w:val="1"/>
          <w:trHeight w:val="296"/>
        </w:trPr>
        <w:tc>
          <w:tcPr>
            <w:tcBorders>
              <w:bottom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pBdr/>
              <w:spacing w:line="240" w:lineRule="auto"/>
              <w:ind w:firstLine="16" w:left="-124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№ </w:t>
            </w:r>
            <w:r>
              <w:rPr>
                <w:color w:val="000000" w:themeColor="text1"/>
                <w:sz w:val="18"/>
                <w:szCs w:val="18"/>
              </w:rPr>
              <w:t xml:space="preserve">п</w:t>
            </w:r>
            <w:r>
              <w:rPr>
                <w:color w:val="000000" w:themeColor="text1"/>
                <w:sz w:val="18"/>
                <w:szCs w:val="18"/>
              </w:rPr>
              <w:t xml:space="preserve">.п</w:t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bottom w:val="single" w:color="auto" w:sz="4" w:space="0"/>
            </w:tcBorders>
            <w:tcW w:w="2395" w:type="dxa"/>
            <w:textDirection w:val="lrTb"/>
            <w:noWrap w:val="false"/>
          </w:tcPr>
          <w:p>
            <w:pPr>
              <w:pBdr/>
              <w:spacing w:line="240" w:lineRule="auto"/>
              <w:ind w:firstLine="0" w:left="-388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Наименование</w:t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gridSpan w:val="2"/>
            <w:tcBorders>
              <w:bottom w:val="single" w:color="auto" w:sz="4" w:space="0"/>
            </w:tcBorders>
            <w:tcW w:w="866" w:type="dxa"/>
            <w:textDirection w:val="lrTb"/>
            <w:noWrap w:val="false"/>
          </w:tcPr>
          <w:p>
            <w:pPr>
              <w:pBdr/>
              <w:spacing w:line="240" w:lineRule="auto"/>
              <w:ind w:firstLine="0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Ед. измерения </w:t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bottom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pBdr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Кол-во</w:t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bottom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pBdr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Цена  (руб.)</w:t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bottom w:val="single" w:color="auto" w:sz="4" w:space="0"/>
            </w:tcBorders>
            <w:tcW w:w="708" w:type="dxa"/>
            <w:textDirection w:val="lrTb"/>
            <w:noWrap w:val="false"/>
          </w:tcPr>
          <w:p>
            <w:pPr>
              <w:pBdr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Сумма  (руб.)</w:t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bottom w:val="single" w:color="auto" w:sz="4" w:space="0"/>
            </w:tcBorders>
            <w:tcW w:w="4820" w:type="dxa"/>
            <w:textDirection w:val="lrTb"/>
            <w:noWrap w:val="false"/>
          </w:tcPr>
          <w:p>
            <w:pPr>
              <w:pBdr/>
              <w:tabs>
                <w:tab w:val="left" w:leader="none" w:pos="7350"/>
              </w:tabs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Характеристики товара</w:t>
            </w:r>
            <w:r>
              <w:rPr>
                <w:color w:val="000000" w:themeColor="text1"/>
                <w:sz w:val="18"/>
                <w:szCs w:val="18"/>
              </w:rPr>
            </w:r>
          </w:p>
        </w:tc>
      </w:tr>
      <w:tr>
        <w:trPr>
          <w:gridAfter w:val="1"/>
          <w:trHeight w:val="296"/>
        </w:trPr>
        <w:tc>
          <w:tcPr>
            <w:shd w:val="clear" w:color="auto" w:fill="00b0f0"/>
            <w:tcBorders>
              <w:bottom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pBdr/>
              <w:spacing w:line="240" w:lineRule="auto"/>
              <w:ind w:firstLine="16" w:left="-124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shd w:val="clear" w:color="auto" w:fill="00b0f0"/>
            <w:tcBorders>
              <w:bottom w:val="single" w:color="auto" w:sz="4" w:space="0"/>
            </w:tcBorders>
            <w:tcW w:w="2395" w:type="dxa"/>
            <w:textDirection w:val="lrTb"/>
            <w:noWrap w:val="false"/>
          </w:tcPr>
          <w:p>
            <w:pPr>
              <w:pBdr/>
              <w:spacing w:line="240" w:lineRule="auto"/>
              <w:ind w:firstLine="0" w:left="-388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gridSpan w:val="2"/>
            <w:shd w:val="clear" w:color="auto" w:fill="00b0f0"/>
            <w:tcBorders>
              <w:bottom w:val="single" w:color="auto" w:sz="4" w:space="0"/>
            </w:tcBorders>
            <w:tcW w:w="866" w:type="dxa"/>
            <w:textDirection w:val="lrTb"/>
            <w:noWrap w:val="false"/>
          </w:tcPr>
          <w:p>
            <w:pPr>
              <w:pBdr/>
              <w:spacing w:line="240" w:lineRule="auto"/>
              <w:ind w:firstLine="0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shd w:val="clear" w:color="auto" w:fill="00b0f0"/>
            <w:tcBorders>
              <w:bottom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pBdr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shd w:val="clear" w:color="auto" w:fill="00b0f0"/>
            <w:tcBorders>
              <w:bottom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pBdr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shd w:val="clear" w:color="auto" w:fill="00b0f0"/>
            <w:tcBorders>
              <w:bottom w:val="single" w:color="auto" w:sz="4" w:space="0"/>
            </w:tcBorders>
            <w:tcW w:w="708" w:type="dxa"/>
            <w:vAlign w:val="bottom"/>
            <w:textDirection w:val="lrTb"/>
            <w:noWrap w:val="false"/>
          </w:tcPr>
          <w:p>
            <w:pPr>
              <w:pBdr/>
              <w:spacing w:line="240" w:lineRule="auto"/>
              <w:ind w:firstLine="0"/>
              <w:jc w:val="righ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shd w:val="clear" w:color="auto" w:fill="00b0f0"/>
            <w:tcBorders>
              <w:bottom w:val="single" w:color="auto" w:sz="4" w:space="0"/>
            </w:tcBorders>
            <w:tcW w:w="4820" w:type="dxa"/>
            <w:textDirection w:val="lrTb"/>
            <w:noWrap w:val="false"/>
          </w:tcPr>
          <w:p>
            <w:pPr>
              <w:pBdr/>
              <w:tabs>
                <w:tab w:val="left" w:leader="none" w:pos="7350"/>
              </w:tabs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</w:tr>
      <w:tr>
        <w:trPr>
          <w:trHeight w:val="296"/>
        </w:trPr>
        <w:tc>
          <w:tcPr>
            <w:shd w:val="clear" w:color="auto" w:fill="ffffff" w:themeFill="background1"/>
            <w:tcBorders>
              <w:top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pStyle w:val="785"/>
              <w:numPr>
                <w:ilvl w:val="0"/>
                <w:numId w:val="11"/>
              </w:numPr>
              <w:pBdr/>
              <w:spacing w:line="240" w:lineRule="auto"/>
              <w:ind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gridSpan w:val="2"/>
            <w:shd w:val="clear" w:color="auto" w:fill="ffffff" w:themeFill="background1"/>
            <w:tcBorders>
              <w:top w:val="single" w:color="auto" w:sz="4" w:space="0"/>
            </w:tcBorders>
            <w:tcW w:w="2410" w:type="dxa"/>
            <w:textDirection w:val="lrTb"/>
            <w:noWrap w:val="false"/>
          </w:tcPr>
          <w:p>
            <w:pPr>
              <w:pBdr/>
              <w:spacing w:line="240" w:lineRule="auto"/>
              <w:ind w:firstLine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pBdr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pBdr/>
              <w:spacing w:line="240" w:lineRule="auto"/>
              <w:ind w:firstLine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pBdr/>
              <w:spacing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</w:tcBorders>
            <w:tcW w:w="708" w:type="dxa"/>
            <w:textDirection w:val="lrTb"/>
            <w:noWrap w:val="false"/>
          </w:tcPr>
          <w:p>
            <w:pPr>
              <w:pBdr/>
              <w:spacing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gridSpan w:val="2"/>
            <w:shd w:val="clear" w:color="auto" w:fill="ffffff" w:themeFill="background1"/>
            <w:tcBorders>
              <w:top w:val="single" w:color="auto" w:sz="4" w:space="0"/>
            </w:tcBorders>
            <w:tcW w:w="4848" w:type="dxa"/>
            <w:textDirection w:val="lrTb"/>
            <w:noWrap w:val="false"/>
          </w:tcPr>
          <w:p>
            <w:pPr>
              <w:pBdr/>
              <w:spacing w:line="240" w:lineRule="auto"/>
              <w:ind w:firstLine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</w:tr>
      <w:tr>
        <w:trPr>
          <w:trHeight w:val="296"/>
        </w:trPr>
        <w:tc>
          <w:tcPr>
            <w:shd w:val="clear" w:color="auto" w:fill="ffffff" w:themeFill="background1"/>
            <w:tcBorders>
              <w:top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pStyle w:val="785"/>
              <w:numPr>
                <w:ilvl w:val="0"/>
                <w:numId w:val="11"/>
              </w:numPr>
              <w:pBdr/>
              <w:spacing w:line="240" w:lineRule="auto"/>
              <w:ind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gridSpan w:val="2"/>
            <w:shd w:val="clear" w:color="auto" w:fill="ffffff" w:themeFill="background1"/>
            <w:tcBorders>
              <w:top w:val="single" w:color="auto" w:sz="4" w:space="0"/>
            </w:tcBorders>
            <w:tcW w:w="2410" w:type="dxa"/>
            <w:textDirection w:val="lrTb"/>
            <w:noWrap w:val="false"/>
          </w:tcPr>
          <w:p>
            <w:pPr>
              <w:pBdr/>
              <w:spacing w:line="240" w:lineRule="auto"/>
              <w:ind w:firstLine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pBdr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pBdr/>
              <w:spacing w:line="240" w:lineRule="auto"/>
              <w:ind w:firstLine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pBdr/>
              <w:spacing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</w:tcBorders>
            <w:tcW w:w="708" w:type="dxa"/>
            <w:textDirection w:val="lrTb"/>
            <w:noWrap w:val="false"/>
          </w:tcPr>
          <w:p>
            <w:pPr>
              <w:pBdr/>
              <w:spacing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gridSpan w:val="2"/>
            <w:shd w:val="clear" w:color="auto" w:fill="ffffff" w:themeFill="background1"/>
            <w:tcBorders>
              <w:top w:val="single" w:color="auto" w:sz="4" w:space="0"/>
            </w:tcBorders>
            <w:tcW w:w="4848" w:type="dxa"/>
            <w:textDirection w:val="lrTb"/>
            <w:noWrap w:val="false"/>
          </w:tcPr>
          <w:p>
            <w:pPr>
              <w:pBdr/>
              <w:spacing w:line="240" w:lineRule="auto"/>
              <w:ind w:firstLine="0" w:left="567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</w:tr>
    </w:tbl>
    <w:p>
      <w:pPr>
        <w:pBdr/>
        <w:spacing w:line="240" w:lineRule="auto"/>
        <w:ind w:firstLine="0"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 xml:space="preserve">*заполняется на основании предложения участника, признанного победителем по результатам рассмотрения и оценки котировочных заявок</w:t>
      </w:r>
      <w:r>
        <w:rPr>
          <w:color w:val="ff0000"/>
          <w:sz w:val="22"/>
          <w:szCs w:val="22"/>
        </w:rPr>
      </w:r>
    </w:p>
    <w:p>
      <w:pPr>
        <w:pBdr/>
        <w:spacing w:line="240" w:lineRule="auto"/>
        <w:ind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2. Качество товара</w:t>
      </w:r>
      <w:r>
        <w:rPr>
          <w:b/>
          <w:sz w:val="22"/>
          <w:szCs w:val="22"/>
        </w:rPr>
      </w:r>
    </w:p>
    <w:p>
      <w:pPr>
        <w:pBdr/>
        <w:spacing w:line="240" w:lineRule="auto"/>
        <w:ind w:firstLine="708"/>
        <w:rPr>
          <w:sz w:val="22"/>
          <w:szCs w:val="22"/>
        </w:rPr>
      </w:pPr>
      <w:r>
        <w:rPr>
          <w:sz w:val="22"/>
          <w:szCs w:val="22"/>
        </w:rPr>
        <w:t xml:space="preserve">2. Качество товара</w:t>
      </w:r>
      <w:r>
        <w:rPr>
          <w:sz w:val="22"/>
          <w:szCs w:val="22"/>
        </w:rPr>
      </w:r>
    </w:p>
    <w:p>
      <w:pPr>
        <w:pBdr/>
        <w:spacing w:line="240" w:lineRule="auto"/>
        <w:ind w:firstLine="708"/>
        <w:rPr>
          <w:rFonts w:eastAsia="SimSun"/>
          <w:sz w:val="24"/>
          <w:szCs w:val="24"/>
        </w:rPr>
      </w:pPr>
      <w:r>
        <w:rPr>
          <w:sz w:val="22"/>
          <w:szCs w:val="22"/>
        </w:rPr>
        <w:t xml:space="preserve">2.1. </w:t>
      </w:r>
      <w:r>
        <w:rPr>
          <w:rFonts w:eastAsia="SimSun"/>
          <w:sz w:val="22"/>
          <w:szCs w:val="22"/>
        </w:rPr>
        <w:t xml:space="preserve">Продавец, поставляющий товар, гарантирует качество и безопасность поставляемого товара в соответствие с действующими стандартами и нормативными документами, утвержденными в отношении данного вида товара.</w:t>
      </w:r>
      <w:r>
        <w:rPr>
          <w:rFonts w:eastAsia="SimSun"/>
          <w:sz w:val="24"/>
          <w:szCs w:val="24"/>
        </w:rPr>
      </w:r>
    </w:p>
    <w:p>
      <w:pPr>
        <w:pBdr/>
        <w:spacing w:line="240" w:lineRule="auto"/>
        <w:ind w:firstLine="708"/>
        <w:rPr>
          <w:rFonts w:eastAsia="Cambria"/>
          <w:sz w:val="22"/>
          <w:szCs w:val="22"/>
        </w:rPr>
      </w:pPr>
      <w:r>
        <w:rPr>
          <w:sz w:val="22"/>
          <w:szCs w:val="22"/>
        </w:rPr>
        <w:t xml:space="preserve">2.2. </w:t>
      </w:r>
      <w:r>
        <w:rPr>
          <w:sz w:val="22"/>
          <w:szCs w:val="22"/>
        </w:rPr>
        <w:t xml:space="preserve">Копии документов, подтверждающих качество поставленного Товара (копии деклараций о соответствии; сертификатов о соответствии (при наличии))</w:t>
      </w:r>
      <w:r>
        <w:rPr>
          <w:rFonts w:eastAsia="SimSun"/>
          <w:sz w:val="22"/>
          <w:szCs w:val="22"/>
        </w:rPr>
        <w:t xml:space="preserve">, оформленных в соответствии с действующим российским законодательством и требованиям)</w:t>
      </w:r>
      <w:r>
        <w:rPr>
          <w:sz w:val="22"/>
          <w:szCs w:val="22"/>
        </w:rPr>
        <w:t xml:space="preserve">, регистрационных удостоверений, нормативной документации по контролю качества передаются </w:t>
      </w:r>
      <w:r>
        <w:rPr>
          <w:sz w:val="22"/>
          <w:szCs w:val="22"/>
        </w:rPr>
        <w:t xml:space="preserve">Покупателю</w:t>
      </w:r>
      <w:r>
        <w:rPr>
          <w:sz w:val="22"/>
          <w:szCs w:val="22"/>
        </w:rPr>
        <w:t xml:space="preserve"> вместе с Товаром.</w:t>
      </w:r>
      <w:r>
        <w:rPr>
          <w:rFonts w:eastAsia="Cambria"/>
          <w:sz w:val="22"/>
          <w:szCs w:val="22"/>
        </w:rPr>
      </w:r>
    </w:p>
    <w:p>
      <w:pPr>
        <w:pBdr/>
        <w:spacing w:line="240" w:lineRule="auto"/>
        <w:ind w:firstLine="708"/>
        <w:rPr>
          <w:sz w:val="22"/>
          <w:szCs w:val="22"/>
        </w:rPr>
      </w:pPr>
      <w:r>
        <w:rPr>
          <w:sz w:val="22"/>
          <w:szCs w:val="22"/>
        </w:rPr>
        <w:t xml:space="preserve">2.3. П</w:t>
      </w:r>
      <w:r>
        <w:rPr>
          <w:sz w:val="22"/>
          <w:szCs w:val="22"/>
        </w:rPr>
        <w:t xml:space="preserve">родавец</w:t>
      </w:r>
      <w:r>
        <w:rPr>
          <w:sz w:val="22"/>
          <w:szCs w:val="22"/>
        </w:rPr>
        <w:t xml:space="preserve"> гарантирует, что товар:</w:t>
      </w:r>
      <w:r>
        <w:rPr>
          <w:sz w:val="22"/>
          <w:szCs w:val="22"/>
        </w:rPr>
      </w:r>
    </w:p>
    <w:p>
      <w:pPr>
        <w:pBdr/>
        <w:spacing w:line="240" w:lineRule="auto"/>
        <w:ind w:firstLine="708"/>
        <w:rPr>
          <w:sz w:val="22"/>
          <w:szCs w:val="22"/>
        </w:rPr>
      </w:pPr>
      <w:r>
        <w:rPr>
          <w:sz w:val="22"/>
          <w:szCs w:val="22"/>
        </w:rPr>
        <w:t xml:space="preserve">2.3.1. Товар соответствует указанным на упаковке характеристикам и инструкции по применению и пригоден для целей, для которых товар такого рода используется. </w:t>
      </w:r>
      <w:r>
        <w:rPr>
          <w:sz w:val="22"/>
          <w:szCs w:val="22"/>
        </w:rPr>
      </w:r>
    </w:p>
    <w:p>
      <w:pPr>
        <w:pBdr/>
        <w:spacing w:line="240" w:lineRule="auto"/>
        <w:ind w:firstLine="709"/>
        <w:rPr>
          <w:sz w:val="22"/>
          <w:szCs w:val="22"/>
        </w:rPr>
      </w:pPr>
      <w:r>
        <w:rPr>
          <w:sz w:val="22"/>
          <w:szCs w:val="22"/>
        </w:rPr>
        <w:t xml:space="preserve">2.3.2. </w:t>
      </w:r>
      <w:r>
        <w:rPr>
          <w:sz w:val="22"/>
          <w:szCs w:val="22"/>
        </w:rPr>
        <w:t xml:space="preserve">На момент поставки остаточный срок годности Товара должен составлять не менее 75%, от срока годности, указанного производителем.</w:t>
      </w:r>
      <w:r>
        <w:rPr>
          <w:sz w:val="22"/>
          <w:szCs w:val="22"/>
        </w:rPr>
      </w:r>
    </w:p>
    <w:p>
      <w:pPr>
        <w:pBdr/>
        <w:spacing w:line="240" w:lineRule="auto"/>
        <w:ind w:firstLine="709"/>
        <w:rPr>
          <w:sz w:val="22"/>
          <w:szCs w:val="22"/>
        </w:rPr>
      </w:pPr>
      <w:r>
        <w:rPr>
          <w:sz w:val="22"/>
          <w:szCs w:val="22"/>
        </w:rPr>
        <w:t xml:space="preserve">В случае выявления в течение гарантийного срока, указанного в пункте 2.3.2 настоящего Договора, недостатков Товара, во</w:t>
      </w:r>
      <w:r>
        <w:rPr>
          <w:sz w:val="22"/>
          <w:szCs w:val="22"/>
        </w:rPr>
        <w:t xml:space="preserve">зникшего по вине Продавца и/или завода-изготовителя и/или перевозчика, Продавец обязан в срок, указанный в акте о выявленных недостатках, произвести замену Товара на Товар надлежащего качества и/или устранить недостатки иным способом (на выбор Покупателя).</w:t>
      </w:r>
      <w:r>
        <w:rPr>
          <w:sz w:val="22"/>
          <w:szCs w:val="22"/>
        </w:rPr>
        <w:t xml:space="preserve"> Все расходы, связанные с заменой Товара, устранением недостатков, вывозом товара ненадлежащего качества от Покупателя несет Продавец.</w:t>
      </w:r>
      <w:r>
        <w:rPr>
          <w:sz w:val="22"/>
          <w:szCs w:val="22"/>
        </w:rPr>
      </w:r>
    </w:p>
    <w:p>
      <w:pPr>
        <w:pBdr/>
        <w:spacing w:line="240" w:lineRule="auto"/>
        <w:ind w:firstLine="708"/>
        <w:rPr>
          <w:sz w:val="22"/>
          <w:szCs w:val="22"/>
        </w:rPr>
      </w:pPr>
      <w:r>
        <w:rPr>
          <w:sz w:val="22"/>
          <w:szCs w:val="22"/>
        </w:rPr>
        <w:t xml:space="preserve">2.3.3. Товар имеет санитарно-эпидемиологическое заключение Службы по надзору в сфере защиты прав потребителей и благополучия человека. </w:t>
      </w:r>
      <w:r>
        <w:rPr>
          <w:sz w:val="22"/>
          <w:szCs w:val="22"/>
        </w:rPr>
      </w:r>
    </w:p>
    <w:p>
      <w:pPr>
        <w:pBdr/>
        <w:spacing w:line="240" w:lineRule="auto"/>
        <w:ind w:firstLine="708"/>
        <w:rPr>
          <w:sz w:val="22"/>
          <w:szCs w:val="22"/>
        </w:rPr>
      </w:pPr>
      <w:r>
        <w:rPr>
          <w:sz w:val="22"/>
          <w:szCs w:val="22"/>
        </w:rPr>
        <w:t xml:space="preserve">2.3.4. </w:t>
      </w:r>
      <w:r>
        <w:rPr>
          <w:sz w:val="22"/>
          <w:szCs w:val="22"/>
        </w:rPr>
        <w:t xml:space="preserve">Товар имеет инструкцию по применению на русском языке</w:t>
      </w:r>
      <w:r>
        <w:t xml:space="preserve"> </w:t>
      </w:r>
      <w:r>
        <w:rPr>
          <w:sz w:val="22"/>
          <w:szCs w:val="22"/>
        </w:rPr>
        <w:t xml:space="preserve">на поставляемую продукцию, являющимися неотъемлемой частью товара.</w:t>
      </w:r>
      <w:r>
        <w:rPr>
          <w:sz w:val="22"/>
          <w:szCs w:val="22"/>
        </w:rPr>
      </w:r>
    </w:p>
    <w:p>
      <w:pPr>
        <w:pBdr/>
        <w:spacing w:line="240" w:lineRule="auto"/>
        <w:ind w:firstLine="708"/>
        <w:rPr>
          <w:sz w:val="22"/>
          <w:szCs w:val="22"/>
        </w:rPr>
      </w:pPr>
      <w:r>
        <w:rPr>
          <w:sz w:val="22"/>
          <w:szCs w:val="22"/>
        </w:rPr>
        <w:t xml:space="preserve">2.3.5. Некачественный товар, товар, не соответствующий условиям договора, считается не поставленным.</w:t>
      </w:r>
      <w:r>
        <w:rPr>
          <w:sz w:val="22"/>
          <w:szCs w:val="22"/>
        </w:rPr>
      </w:r>
    </w:p>
    <w:p>
      <w:pPr>
        <w:pBdr/>
        <w:spacing w:line="240" w:lineRule="auto"/>
        <w:ind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3. Условия поставки и порядок приемки Товара</w:t>
      </w:r>
      <w:r>
        <w:rPr>
          <w:b/>
          <w:sz w:val="22"/>
          <w:szCs w:val="22"/>
        </w:rPr>
      </w:r>
    </w:p>
    <w:p>
      <w:pPr>
        <w:pBdr/>
        <w:spacing w:line="240" w:lineRule="auto"/>
        <w:ind w:firstLine="709"/>
        <w:rPr>
          <w:sz w:val="22"/>
          <w:szCs w:val="22"/>
        </w:rPr>
      </w:pPr>
      <w:r>
        <w:rPr>
          <w:sz w:val="22"/>
          <w:szCs w:val="22"/>
        </w:rPr>
        <w:t xml:space="preserve">3.1. </w:t>
      </w:r>
      <w:r>
        <w:rPr>
          <w:sz w:val="22"/>
          <w:szCs w:val="22"/>
        </w:rPr>
        <w:t xml:space="preserve">Поставка товара по адресу Заказчика (СК, город Георгиевск, ул. Лермонтова, 59) осуществляется силами и средствами Поставщика в течени</w:t>
      </w:r>
      <w:r>
        <w:rPr>
          <w:sz w:val="22"/>
          <w:szCs w:val="22"/>
        </w:rPr>
        <w:t xml:space="preserve">и</w:t>
      </w:r>
      <w:r>
        <w:rPr>
          <w:sz w:val="22"/>
          <w:szCs w:val="22"/>
        </w:rPr>
        <w:t xml:space="preserve"> 15 календарных дней с момента подписания договора.</w:t>
      </w:r>
      <w:r>
        <w:rPr>
          <w:sz w:val="22"/>
          <w:szCs w:val="22"/>
        </w:rPr>
      </w:r>
    </w:p>
    <w:p>
      <w:pPr>
        <w:pBdr/>
        <w:spacing w:line="240" w:lineRule="auto"/>
        <w:ind w:firstLine="709"/>
        <w:rPr>
          <w:sz w:val="22"/>
          <w:szCs w:val="22"/>
        </w:rPr>
      </w:pPr>
      <w:r>
        <w:rPr>
          <w:sz w:val="22"/>
          <w:szCs w:val="22"/>
        </w:rPr>
        <w:t xml:space="preserve">3.2. Товар должен быть поставлен в упаковке, способной предотвратить его повреждение или порчу во время перевозки, передачи </w:t>
      </w:r>
      <w:r>
        <w:rPr>
          <w:sz w:val="22"/>
          <w:szCs w:val="22"/>
        </w:rPr>
        <w:t xml:space="preserve">Покупателю</w:t>
      </w:r>
      <w:r>
        <w:rPr>
          <w:sz w:val="22"/>
          <w:szCs w:val="22"/>
        </w:rPr>
        <w:t xml:space="preserve"> и дальнейшего хранения. Упаковка товара не должна быть нарушена.</w:t>
      </w:r>
      <w:r>
        <w:rPr>
          <w:sz w:val="22"/>
          <w:szCs w:val="22"/>
        </w:rPr>
      </w:r>
    </w:p>
    <w:p>
      <w:pPr>
        <w:pBdr/>
        <w:spacing w:line="240" w:lineRule="auto"/>
        <w:ind w:firstLine="709"/>
        <w:rPr>
          <w:sz w:val="22"/>
          <w:szCs w:val="22"/>
        </w:rPr>
      </w:pPr>
      <w:r>
        <w:rPr>
          <w:sz w:val="22"/>
          <w:szCs w:val="22"/>
        </w:rPr>
        <w:t xml:space="preserve">3.3. </w:t>
      </w:r>
      <w:r>
        <w:rPr>
          <w:sz w:val="22"/>
          <w:szCs w:val="22"/>
        </w:rPr>
        <w:t xml:space="preserve">Покупатель</w:t>
      </w:r>
      <w:r>
        <w:rPr>
          <w:sz w:val="22"/>
          <w:szCs w:val="22"/>
        </w:rPr>
        <w:t xml:space="preserve"> осуществляет при</w:t>
      </w:r>
      <w:r>
        <w:rPr>
          <w:sz w:val="22"/>
          <w:szCs w:val="22"/>
        </w:rPr>
        <w:t xml:space="preserve">емку товара с участием Продавца</w:t>
      </w:r>
      <w:r>
        <w:rPr>
          <w:sz w:val="22"/>
          <w:szCs w:val="22"/>
        </w:rPr>
        <w:t xml:space="preserve"> в течение 1 дня после фактического поступления товара. </w:t>
      </w:r>
      <w:r>
        <w:rPr>
          <w:sz w:val="22"/>
          <w:szCs w:val="22"/>
        </w:rPr>
      </w:r>
    </w:p>
    <w:p>
      <w:pPr>
        <w:pBdr/>
        <w:spacing w:line="240" w:lineRule="auto"/>
        <w:ind w:firstLine="709"/>
        <w:rPr>
          <w:sz w:val="22"/>
          <w:szCs w:val="22"/>
        </w:rPr>
      </w:pPr>
      <w:r>
        <w:rPr>
          <w:sz w:val="22"/>
          <w:szCs w:val="22"/>
        </w:rPr>
        <w:t xml:space="preserve">3.4. Покупатель вправе отказать Продавцу в приемке товара в момент поставки в том случае, если:</w:t>
      </w:r>
      <w:r>
        <w:rPr>
          <w:sz w:val="22"/>
          <w:szCs w:val="22"/>
        </w:rPr>
      </w:r>
    </w:p>
    <w:p>
      <w:pPr>
        <w:pBdr/>
        <w:tabs>
          <w:tab w:val="left" w:leader="none" w:pos="993"/>
        </w:tabs>
        <w:spacing w:line="240" w:lineRule="auto"/>
        <w:ind w:firstLine="709"/>
        <w:rPr>
          <w:sz w:val="22"/>
          <w:szCs w:val="22"/>
        </w:rPr>
      </w:pPr>
      <w:r>
        <w:rPr>
          <w:sz w:val="22"/>
          <w:szCs w:val="22"/>
        </w:rPr>
        <w:t xml:space="preserve">-</w:t>
      </w:r>
      <w:r>
        <w:rPr>
          <w:sz w:val="22"/>
          <w:szCs w:val="22"/>
        </w:rPr>
        <w:tab/>
        <w:t xml:space="preserve">товарно-сопроводительные документы не оформлены;</w:t>
      </w:r>
      <w:r>
        <w:rPr>
          <w:sz w:val="22"/>
          <w:szCs w:val="22"/>
        </w:rPr>
      </w:r>
    </w:p>
    <w:p>
      <w:pPr>
        <w:pBdr/>
        <w:tabs>
          <w:tab w:val="left" w:leader="none" w:pos="993"/>
        </w:tabs>
        <w:spacing w:line="240" w:lineRule="auto"/>
        <w:ind w:firstLine="709"/>
        <w:rPr>
          <w:sz w:val="22"/>
          <w:szCs w:val="22"/>
        </w:rPr>
      </w:pPr>
      <w:r>
        <w:rPr>
          <w:sz w:val="22"/>
          <w:szCs w:val="22"/>
        </w:rPr>
        <w:t xml:space="preserve">-</w:t>
      </w:r>
      <w:r>
        <w:rPr>
          <w:sz w:val="22"/>
          <w:szCs w:val="22"/>
        </w:rPr>
        <w:tab/>
        <w:t xml:space="preserve">товарно-сопроводительные документы представлены не в полном объеме;</w:t>
      </w:r>
      <w:r>
        <w:rPr>
          <w:sz w:val="22"/>
          <w:szCs w:val="22"/>
        </w:rPr>
      </w:r>
    </w:p>
    <w:p>
      <w:pPr>
        <w:pBdr/>
        <w:tabs>
          <w:tab w:val="left" w:leader="none" w:pos="993"/>
        </w:tabs>
        <w:spacing w:line="240" w:lineRule="auto"/>
        <w:ind w:firstLine="709"/>
        <w:rPr>
          <w:sz w:val="22"/>
          <w:szCs w:val="22"/>
        </w:rPr>
      </w:pPr>
      <w:r>
        <w:rPr>
          <w:sz w:val="22"/>
          <w:szCs w:val="22"/>
        </w:rPr>
        <w:t xml:space="preserve">-</w:t>
      </w:r>
      <w:r>
        <w:rPr>
          <w:sz w:val="22"/>
          <w:szCs w:val="22"/>
        </w:rPr>
        <w:tab/>
        <w:t xml:space="preserve">товарно-сопроводительные документы оформлены ненадлежащим образом;</w:t>
      </w:r>
      <w:r>
        <w:rPr>
          <w:sz w:val="22"/>
          <w:szCs w:val="22"/>
        </w:rPr>
      </w:r>
    </w:p>
    <w:p>
      <w:pPr>
        <w:pBdr/>
        <w:tabs>
          <w:tab w:val="left" w:leader="none" w:pos="993"/>
        </w:tabs>
        <w:spacing w:line="240" w:lineRule="auto"/>
        <w:ind w:firstLine="709"/>
        <w:rPr>
          <w:sz w:val="22"/>
          <w:szCs w:val="22"/>
        </w:rPr>
      </w:pPr>
      <w:r>
        <w:rPr>
          <w:sz w:val="22"/>
          <w:szCs w:val="22"/>
        </w:rPr>
        <w:t xml:space="preserve">-</w:t>
      </w:r>
      <w:r>
        <w:rPr>
          <w:sz w:val="22"/>
          <w:szCs w:val="22"/>
        </w:rPr>
        <w:tab/>
        <w:t xml:space="preserve">товарно-сопроводительные документы оформлены, но содержание не соответствует согласованной заявке по настоящему договору;</w:t>
      </w:r>
      <w:r>
        <w:rPr>
          <w:sz w:val="22"/>
          <w:szCs w:val="22"/>
        </w:rPr>
      </w:r>
    </w:p>
    <w:p>
      <w:pPr>
        <w:pBdr/>
        <w:tabs>
          <w:tab w:val="left" w:leader="none" w:pos="993"/>
        </w:tabs>
        <w:spacing w:line="240" w:lineRule="auto"/>
        <w:ind w:firstLine="709"/>
        <w:rPr>
          <w:sz w:val="22"/>
          <w:szCs w:val="22"/>
        </w:rPr>
      </w:pPr>
      <w:r>
        <w:rPr>
          <w:sz w:val="22"/>
          <w:szCs w:val="22"/>
        </w:rPr>
        <w:t xml:space="preserve">-</w:t>
      </w:r>
      <w:r>
        <w:rPr>
          <w:sz w:val="22"/>
          <w:szCs w:val="22"/>
        </w:rPr>
        <w:tab/>
        <w:t xml:space="preserve">поставка товаров осуществляется с нарушением ассортимента, комплектности или количества;</w:t>
      </w:r>
      <w:r>
        <w:rPr>
          <w:sz w:val="22"/>
          <w:szCs w:val="22"/>
        </w:rPr>
      </w:r>
    </w:p>
    <w:p>
      <w:pPr>
        <w:pBdr/>
        <w:tabs>
          <w:tab w:val="left" w:leader="none" w:pos="993"/>
        </w:tabs>
        <w:spacing w:line="240" w:lineRule="auto"/>
        <w:ind w:firstLine="709"/>
        <w:rPr>
          <w:sz w:val="22"/>
          <w:szCs w:val="22"/>
        </w:rPr>
      </w:pPr>
      <w:r>
        <w:rPr>
          <w:sz w:val="22"/>
          <w:szCs w:val="22"/>
        </w:rPr>
        <w:t xml:space="preserve">-</w:t>
      </w:r>
      <w:r>
        <w:rPr>
          <w:sz w:val="22"/>
          <w:szCs w:val="22"/>
        </w:rPr>
        <w:tab/>
        <w:t xml:space="preserve">нарушена, повреждена или неправильно осуществлена упаковка или маркировка (к повреждениям упаковки также относятся: наличие подтеков, мокрая упаковка, упаковка, имеющая надрывы, помятости, наличие в упаковке звука, характерного для боя товара и др.);</w:t>
      </w:r>
      <w:r>
        <w:rPr>
          <w:sz w:val="22"/>
          <w:szCs w:val="22"/>
        </w:rPr>
      </w:r>
    </w:p>
    <w:p>
      <w:pPr>
        <w:pBdr/>
        <w:tabs>
          <w:tab w:val="left" w:leader="none" w:pos="993"/>
        </w:tabs>
        <w:spacing w:line="240" w:lineRule="auto"/>
        <w:ind w:firstLine="709"/>
        <w:rPr>
          <w:sz w:val="22"/>
          <w:szCs w:val="22"/>
        </w:rPr>
      </w:pPr>
      <w:r>
        <w:rPr>
          <w:sz w:val="22"/>
          <w:szCs w:val="22"/>
        </w:rPr>
        <w:t xml:space="preserve">- остаточный срок годности на момент поставки товара менее 75%, от срока годности, указанного производителем.</w:t>
      </w:r>
      <w:r>
        <w:rPr>
          <w:sz w:val="22"/>
          <w:szCs w:val="22"/>
        </w:rPr>
      </w:r>
    </w:p>
    <w:p>
      <w:pPr>
        <w:pBdr/>
        <w:spacing w:line="240" w:lineRule="auto"/>
        <w:ind w:firstLine="709"/>
        <w:rPr>
          <w:sz w:val="22"/>
          <w:szCs w:val="22"/>
        </w:rPr>
      </w:pPr>
      <w:r>
        <w:rPr>
          <w:sz w:val="22"/>
          <w:szCs w:val="22"/>
        </w:rPr>
        <w:t xml:space="preserve">В случае выявления несоответствия поставляемого товара услов</w:t>
      </w:r>
      <w:r>
        <w:rPr>
          <w:sz w:val="22"/>
          <w:szCs w:val="22"/>
        </w:rPr>
        <w:t xml:space="preserve">иям настоящего Договора Покупатель</w:t>
      </w:r>
      <w:r>
        <w:rPr>
          <w:sz w:val="22"/>
          <w:szCs w:val="22"/>
        </w:rPr>
        <w:t xml:space="preserve"> незамедлительно уведомляет об этом Продавца, составляет акт устранения недостатков и направляет его Продавцу</w:t>
      </w:r>
      <w:r>
        <w:t xml:space="preserve"> </w:t>
      </w:r>
      <w:r>
        <w:rPr>
          <w:sz w:val="22"/>
          <w:szCs w:val="22"/>
        </w:rPr>
        <w:t xml:space="preserve">любым способом, указанным в пункте </w:t>
      </w:r>
      <w:r>
        <w:rPr>
          <w:sz w:val="22"/>
          <w:szCs w:val="22"/>
        </w:rPr>
        <w:t xml:space="preserve">7.</w:t>
      </w:r>
      <w:r>
        <w:rPr>
          <w:sz w:val="22"/>
          <w:szCs w:val="22"/>
        </w:rPr>
        <w:t xml:space="preserve">8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Договора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</w:p>
    <w:p>
      <w:pPr>
        <w:pBdr/>
        <w:spacing w:line="240" w:lineRule="auto"/>
        <w:ind w:firstLine="709"/>
        <w:rPr>
          <w:sz w:val="22"/>
          <w:szCs w:val="22"/>
        </w:rPr>
      </w:pPr>
      <w:r>
        <w:rPr>
          <w:sz w:val="22"/>
          <w:szCs w:val="22"/>
        </w:rPr>
        <w:t xml:space="preserve">Продавец обязан в течение трех дней с момента получения указанного акта устранить выявленные недостатки за свой счет.</w:t>
      </w:r>
      <w:r>
        <w:rPr>
          <w:sz w:val="22"/>
          <w:szCs w:val="22"/>
        </w:rPr>
      </w:r>
    </w:p>
    <w:p>
      <w:pPr>
        <w:pBdr/>
        <w:spacing w:line="240" w:lineRule="auto"/>
        <w:ind w:firstLine="709"/>
        <w:rPr>
          <w:sz w:val="22"/>
          <w:szCs w:val="22"/>
        </w:rPr>
      </w:pPr>
      <w:r>
        <w:rPr>
          <w:sz w:val="22"/>
          <w:szCs w:val="22"/>
        </w:rPr>
        <w:t xml:space="preserve">В случае если Продавец не явится для подписания акта о выявленных недостатках в назначенный</w:t>
      </w:r>
      <w:r>
        <w:rPr>
          <w:sz w:val="22"/>
          <w:szCs w:val="22"/>
        </w:rPr>
        <w:t xml:space="preserve"> срок, если Продавец откажется подписывать такой акт, то Покупатель составляет акт о выявленных недостатках в одностороннем порядке и в этом случае такой акт считается согласованным Продавцом. Копия такого акта с требованием устранить недостатки Продавцом </w:t>
      </w:r>
      <w:r>
        <w:rPr>
          <w:sz w:val="22"/>
          <w:szCs w:val="22"/>
        </w:rPr>
        <w:t xml:space="preserve">направляется</w:t>
      </w:r>
      <w:r>
        <w:rPr>
          <w:sz w:val="22"/>
          <w:szCs w:val="22"/>
        </w:rPr>
        <w:t xml:space="preserve">/передается Продавцу.  </w:t>
      </w:r>
      <w:r>
        <w:rPr>
          <w:sz w:val="22"/>
          <w:szCs w:val="22"/>
        </w:rPr>
      </w:r>
    </w:p>
    <w:p>
      <w:pPr>
        <w:pBdr/>
        <w:spacing w:line="240" w:lineRule="auto"/>
        <w:ind w:firstLine="709"/>
        <w:rPr>
          <w:sz w:val="22"/>
          <w:szCs w:val="22"/>
        </w:rPr>
      </w:pPr>
      <w:r>
        <w:rPr>
          <w:sz w:val="22"/>
          <w:szCs w:val="22"/>
        </w:rPr>
        <w:t xml:space="preserve">Претензии по скрытым недостаткам </w:t>
      </w:r>
      <w:r>
        <w:rPr>
          <w:sz w:val="22"/>
          <w:szCs w:val="22"/>
        </w:rPr>
        <w:t xml:space="preserve">могут быть заявлены Покупателем в течение всего срока годности (срока полезного использования) Товара и </w:t>
      </w:r>
      <w:r>
        <w:rPr>
          <w:sz w:val="22"/>
          <w:szCs w:val="22"/>
        </w:rPr>
        <w:t xml:space="preserve">предъявляются в течение пяти дней с момента обнаружения скрытого дефекта. Товар ненадлежащего качества подлежит замене </w:t>
      </w:r>
      <w:r>
        <w:rPr>
          <w:sz w:val="22"/>
          <w:szCs w:val="22"/>
        </w:rPr>
        <w:t xml:space="preserve">Продавцом</w:t>
      </w:r>
      <w:r>
        <w:rPr>
          <w:sz w:val="22"/>
          <w:szCs w:val="22"/>
        </w:rPr>
        <w:t xml:space="preserve"> за свой счет.</w:t>
      </w:r>
      <w:r>
        <w:rPr>
          <w:sz w:val="22"/>
          <w:szCs w:val="22"/>
        </w:rPr>
      </w:r>
    </w:p>
    <w:p>
      <w:pPr>
        <w:pBdr/>
        <w:spacing w:line="240" w:lineRule="auto"/>
        <w:ind w:firstLine="709"/>
        <w:rPr>
          <w:sz w:val="22"/>
          <w:szCs w:val="22"/>
        </w:rPr>
      </w:pPr>
      <w:r>
        <w:rPr>
          <w:sz w:val="22"/>
          <w:szCs w:val="22"/>
        </w:rPr>
        <w:t xml:space="preserve">3.5. </w:t>
      </w:r>
      <w:r>
        <w:rPr>
          <w:sz w:val="22"/>
          <w:szCs w:val="22"/>
        </w:rPr>
        <w:t xml:space="preserve">Право собственности и риск случайной гибели или порчи Товара переходит от Продавца к Покупателю с момента приемки Товара Покупателем и подписания Сторонами документов, указанных в пункте </w:t>
      </w:r>
      <w:r>
        <w:rPr>
          <w:sz w:val="22"/>
          <w:szCs w:val="22"/>
        </w:rPr>
        <w:t xml:space="preserve">4.2 </w:t>
      </w:r>
      <w:r>
        <w:rPr>
          <w:sz w:val="22"/>
          <w:szCs w:val="22"/>
        </w:rPr>
        <w:t xml:space="preserve">Договора.</w:t>
      </w:r>
      <w:r>
        <w:rPr>
          <w:sz w:val="22"/>
          <w:szCs w:val="22"/>
        </w:rPr>
      </w:r>
    </w:p>
    <w:p>
      <w:pPr>
        <w:pBdr/>
        <w:spacing w:line="240" w:lineRule="auto"/>
        <w:ind w:firstLine="709"/>
        <w:rPr>
          <w:sz w:val="22"/>
          <w:szCs w:val="22"/>
        </w:rPr>
      </w:pPr>
      <w:r>
        <w:rPr>
          <w:sz w:val="22"/>
          <w:szCs w:val="22"/>
        </w:rPr>
        <w:t xml:space="preserve">3.6</w:t>
      </w:r>
      <w:r>
        <w:rPr>
          <w:sz w:val="22"/>
          <w:szCs w:val="22"/>
        </w:rPr>
        <w:t xml:space="preserve">. Каждую передачу товара </w:t>
      </w:r>
      <w:r>
        <w:rPr>
          <w:sz w:val="22"/>
          <w:szCs w:val="22"/>
        </w:rPr>
        <w:t xml:space="preserve">Покупателю</w:t>
      </w:r>
      <w:r>
        <w:rPr>
          <w:sz w:val="22"/>
          <w:szCs w:val="22"/>
        </w:rPr>
        <w:t xml:space="preserve"> в связи с поставкой, допоставкой, заменой товара на товар надлежащего качества П</w:t>
      </w:r>
      <w:r>
        <w:rPr>
          <w:sz w:val="22"/>
          <w:szCs w:val="22"/>
        </w:rPr>
        <w:t xml:space="preserve">родавец</w:t>
      </w:r>
      <w:r>
        <w:rPr>
          <w:sz w:val="22"/>
          <w:szCs w:val="22"/>
        </w:rPr>
        <w:t xml:space="preserve"> сопровождает товарной накладной.  </w:t>
      </w:r>
      <w:r>
        <w:rPr>
          <w:sz w:val="22"/>
          <w:szCs w:val="22"/>
        </w:rPr>
      </w:r>
    </w:p>
    <w:p>
      <w:pPr>
        <w:pBdr/>
        <w:spacing w:line="240" w:lineRule="auto"/>
        <w:ind w:firstLine="709"/>
        <w:rPr>
          <w:sz w:val="22"/>
          <w:szCs w:val="22"/>
        </w:rPr>
      </w:pPr>
      <w:r>
        <w:rPr>
          <w:sz w:val="22"/>
          <w:szCs w:val="22"/>
        </w:rPr>
        <w:t xml:space="preserve">3.7</w:t>
      </w:r>
      <w:r>
        <w:rPr>
          <w:sz w:val="22"/>
          <w:szCs w:val="22"/>
        </w:rPr>
        <w:t xml:space="preserve">. Каждая передача товара П</w:t>
      </w:r>
      <w:r>
        <w:rPr>
          <w:sz w:val="22"/>
          <w:szCs w:val="22"/>
        </w:rPr>
        <w:t xml:space="preserve">родавцу</w:t>
      </w:r>
      <w:r>
        <w:rPr>
          <w:sz w:val="22"/>
          <w:szCs w:val="22"/>
        </w:rPr>
        <w:t xml:space="preserve">, в том числе для замены, вывоза не качественного Товара, сопровождается товарной накладной. Уполномоченное лицо П</w:t>
      </w:r>
      <w:r>
        <w:rPr>
          <w:sz w:val="22"/>
          <w:szCs w:val="22"/>
        </w:rPr>
        <w:t xml:space="preserve">родавца</w:t>
      </w:r>
      <w:r>
        <w:rPr>
          <w:sz w:val="22"/>
          <w:szCs w:val="22"/>
        </w:rPr>
        <w:t xml:space="preserve"> должно иметь доверенность на получение товара от </w:t>
      </w:r>
      <w:r>
        <w:rPr>
          <w:sz w:val="22"/>
          <w:szCs w:val="22"/>
        </w:rPr>
        <w:t xml:space="preserve">Покупателя</w:t>
      </w:r>
      <w:r>
        <w:rPr>
          <w:sz w:val="22"/>
          <w:szCs w:val="22"/>
        </w:rPr>
        <w:t xml:space="preserve">. </w:t>
      </w:r>
      <w:r>
        <w:rPr>
          <w:sz w:val="22"/>
          <w:szCs w:val="22"/>
        </w:rPr>
      </w:r>
    </w:p>
    <w:p>
      <w:pPr>
        <w:pBdr/>
        <w:spacing w:line="240" w:lineRule="auto"/>
        <w:ind w:firstLine="709"/>
        <w:rPr>
          <w:sz w:val="22"/>
          <w:szCs w:val="22"/>
        </w:rPr>
      </w:pPr>
      <w:r>
        <w:rPr>
          <w:sz w:val="22"/>
          <w:szCs w:val="22"/>
        </w:rPr>
        <w:t xml:space="preserve">3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  <w:t xml:space="preserve">8.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Покупатель</w:t>
      </w:r>
      <w:r>
        <w:rPr>
          <w:sz w:val="22"/>
          <w:szCs w:val="22"/>
        </w:rPr>
        <w:t xml:space="preserve"> вправе, уведомив </w:t>
      </w:r>
      <w:r>
        <w:rPr>
          <w:sz w:val="22"/>
          <w:szCs w:val="22"/>
        </w:rPr>
        <w:t xml:space="preserve">Продавца</w:t>
      </w:r>
      <w:r>
        <w:rPr>
          <w:sz w:val="22"/>
          <w:szCs w:val="22"/>
        </w:rPr>
        <w:t xml:space="preserve">, отказаться от принятия товара, поставка которых просрочена.</w:t>
      </w:r>
      <w:r>
        <w:rPr>
          <w:sz w:val="22"/>
          <w:szCs w:val="22"/>
        </w:rPr>
      </w:r>
    </w:p>
    <w:p>
      <w:pPr>
        <w:pBdr/>
        <w:spacing w:line="240" w:lineRule="auto"/>
        <w:ind w:firstLine="709"/>
        <w:rPr>
          <w:sz w:val="22"/>
          <w:szCs w:val="22"/>
        </w:rPr>
      </w:pPr>
      <w:r>
        <w:rPr>
          <w:sz w:val="22"/>
          <w:szCs w:val="22"/>
        </w:rPr>
        <w:t xml:space="preserve">3.</w:t>
      </w:r>
      <w:r>
        <w:rPr>
          <w:sz w:val="22"/>
          <w:szCs w:val="22"/>
        </w:rPr>
        <w:t xml:space="preserve">9</w:t>
      </w:r>
      <w:r>
        <w:rPr>
          <w:sz w:val="22"/>
          <w:szCs w:val="22"/>
        </w:rPr>
        <w:t xml:space="preserve">. Поставленный товар считается принятым после устранения выявленных недостатков и подписания Покупателем товарной накладной.</w:t>
      </w:r>
      <w:r>
        <w:rPr>
          <w:sz w:val="22"/>
          <w:szCs w:val="22"/>
        </w:rPr>
      </w:r>
    </w:p>
    <w:p>
      <w:pPr>
        <w:pBdr/>
        <w:spacing w:line="240" w:lineRule="auto"/>
        <w:ind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4. Цены и порядок расчетов</w:t>
      </w:r>
      <w:r>
        <w:rPr>
          <w:b/>
          <w:sz w:val="22"/>
          <w:szCs w:val="22"/>
        </w:rPr>
      </w:r>
    </w:p>
    <w:p>
      <w:pPr>
        <w:pStyle w:val="724"/>
        <w:pBdr/>
        <w:spacing/>
        <w:ind w:firstLine="540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 xml:space="preserve">4.1. Цена Договора составляет </w:t>
      </w:r>
      <w:r>
        <w:rPr>
          <w:rFonts w:ascii="Times New Roman" w:hAnsi="Times New Roman"/>
          <w:u w:val="single"/>
        </w:rPr>
        <w:t xml:space="preserve">_____________________________________________.</w:t>
      </w:r>
      <w:r>
        <w:rPr>
          <w:rFonts w:ascii="Times New Roman" w:hAnsi="Times New Roman"/>
          <w:u w:val="single"/>
        </w:rPr>
      </w:r>
    </w:p>
    <w:p>
      <w:pPr>
        <w:pBdr/>
        <w:spacing w:line="240" w:lineRule="auto"/>
        <w:ind w:firstLine="540"/>
        <w:rPr>
          <w:sz w:val="22"/>
          <w:szCs w:val="22"/>
        </w:rPr>
      </w:pPr>
      <w:r>
        <w:rPr>
          <w:sz w:val="22"/>
          <w:szCs w:val="22"/>
        </w:rPr>
        <w:t xml:space="preserve">4.2. </w:t>
      </w:r>
      <w:r>
        <w:rPr>
          <w:sz w:val="22"/>
          <w:szCs w:val="22"/>
        </w:rPr>
        <w:t xml:space="preserve">Оплата товара производится по безналичному расчету, на расч</w:t>
      </w:r>
      <w:r>
        <w:rPr>
          <w:sz w:val="22"/>
          <w:szCs w:val="22"/>
        </w:rPr>
        <w:t xml:space="preserve">етный счет Продавца в течение 7 (семи) </w:t>
      </w:r>
      <w:r>
        <w:rPr>
          <w:sz w:val="22"/>
          <w:szCs w:val="22"/>
        </w:rPr>
        <w:t xml:space="preserve">рабочих дней с даты подписания Покупателем</w:t>
      </w:r>
      <w:r>
        <w:rPr>
          <w:sz w:val="22"/>
          <w:szCs w:val="22"/>
        </w:rPr>
        <w:t xml:space="preserve"> акта</w:t>
      </w:r>
      <w:r>
        <w:rPr>
          <w:sz w:val="22"/>
          <w:szCs w:val="22"/>
        </w:rPr>
        <w:t xml:space="preserve"> сдачи-приемки товара по факту поставки </w:t>
      </w:r>
      <w:r>
        <w:rPr>
          <w:color w:val="000000"/>
          <w:sz w:val="22"/>
          <w:szCs w:val="22"/>
        </w:rPr>
        <w:t xml:space="preserve">всего товара в полном объеме</w:t>
      </w:r>
      <w:r>
        <w:rPr>
          <w:color w:val="000000"/>
          <w:sz w:val="22"/>
          <w:szCs w:val="22"/>
        </w:rPr>
        <w:t xml:space="preserve">,</w:t>
      </w:r>
      <w:r>
        <w:rPr>
          <w:color w:val="000000"/>
          <w:sz w:val="22"/>
          <w:szCs w:val="22"/>
        </w:rPr>
        <w:t xml:space="preserve"> предусмотренным спецификацией (п.1.1.</w:t>
      </w:r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Договора)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</w:p>
    <w:p>
      <w:pPr>
        <w:pBdr/>
        <w:spacing w:line="240" w:lineRule="auto"/>
        <w:ind w:firstLine="540"/>
        <w:rPr>
          <w:sz w:val="22"/>
          <w:szCs w:val="22"/>
        </w:rPr>
      </w:pPr>
      <w:r>
        <w:rPr>
          <w:sz w:val="22"/>
          <w:szCs w:val="22"/>
        </w:rPr>
        <w:t xml:space="preserve">4.3.</w:t>
      </w:r>
      <w:r>
        <w:rPr>
          <w:bCs/>
          <w:color w:val="000000"/>
          <w:sz w:val="22"/>
          <w:szCs w:val="22"/>
        </w:rPr>
        <w:t xml:space="preserve"> </w:t>
      </w:r>
      <w:r>
        <w:rPr>
          <w:bCs/>
          <w:color w:val="000000"/>
          <w:sz w:val="22"/>
          <w:szCs w:val="22"/>
        </w:rPr>
        <w:t xml:space="preserve">Цена поставляемого товара включает, </w:t>
      </w:r>
      <w:r>
        <w:rPr>
          <w:sz w:val="22"/>
          <w:szCs w:val="22"/>
        </w:rPr>
        <w:t xml:space="preserve">затраты на доставку в ГАУЗ СК «Георгиевская стоматологическая поликлиника» по адресу Ставропольский край, г. Георгиевск, ул. Лермонтова, 59, выгрузку на первый этаж (</w:t>
      </w:r>
      <w:r>
        <w:rPr>
          <w:sz w:val="22"/>
          <w:szCs w:val="22"/>
        </w:rPr>
        <w:t xml:space="preserve">каб</w:t>
      </w:r>
      <w:r>
        <w:rPr>
          <w:sz w:val="22"/>
          <w:szCs w:val="22"/>
        </w:rPr>
        <w:t xml:space="preserve">. №24), страхование, уплату налогов, </w:t>
      </w:r>
      <w:r>
        <w:rPr>
          <w:bCs/>
          <w:color w:val="000000"/>
          <w:sz w:val="22"/>
          <w:szCs w:val="22"/>
        </w:rPr>
        <w:t xml:space="preserve">таможенных пошлин</w:t>
      </w:r>
      <w:r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сборов и других обязательных платежей</w:t>
      </w:r>
      <w:r>
        <w:rPr>
          <w:sz w:val="22"/>
          <w:szCs w:val="22"/>
        </w:rPr>
        <w:t xml:space="preserve">,</w:t>
      </w:r>
      <w:r>
        <w:t xml:space="preserve"> </w:t>
      </w:r>
      <w:r>
        <w:rPr>
          <w:sz w:val="22"/>
          <w:szCs w:val="22"/>
        </w:rPr>
        <w:t xml:space="preserve">в том числе расходы </w:t>
      </w:r>
      <w:r>
        <w:rPr>
          <w:sz w:val="22"/>
          <w:szCs w:val="22"/>
        </w:rPr>
        <w:t xml:space="preserve">Продавца</w:t>
      </w:r>
      <w:r>
        <w:rPr>
          <w:sz w:val="22"/>
          <w:szCs w:val="22"/>
        </w:rPr>
        <w:t xml:space="preserve"> прямо не предусмотренные, но которые могут возникнуть в ходе исполнения договора.</w:t>
      </w:r>
      <w:r>
        <w:rPr>
          <w:sz w:val="22"/>
          <w:szCs w:val="22"/>
        </w:rPr>
      </w:r>
    </w:p>
    <w:p>
      <w:pPr>
        <w:pBdr/>
        <w:spacing w:line="240" w:lineRule="auto"/>
        <w:ind w:firstLine="540"/>
        <w:rPr>
          <w:sz w:val="22"/>
          <w:szCs w:val="22"/>
        </w:rPr>
      </w:pPr>
      <w:r>
        <w:rPr>
          <w:sz w:val="22"/>
          <w:szCs w:val="22"/>
        </w:rPr>
        <w:t xml:space="preserve">4.4. Неучтенные затраты Продавца по настоящему Договору, связанные с исполнением Договора, но не включенные в предлагаемую цену Договора, не подлежат оплате Покупателем.</w:t>
      </w:r>
      <w:r>
        <w:rPr>
          <w:sz w:val="22"/>
          <w:szCs w:val="22"/>
        </w:rPr>
      </w:r>
    </w:p>
    <w:p>
      <w:pPr>
        <w:pBdr/>
        <w:spacing w:line="240" w:lineRule="auto"/>
        <w:ind w:firstLine="540"/>
        <w:rPr>
          <w:sz w:val="22"/>
          <w:szCs w:val="22"/>
        </w:rPr>
      </w:pPr>
      <w:r>
        <w:rPr>
          <w:sz w:val="22"/>
          <w:szCs w:val="22"/>
        </w:rPr>
        <w:t xml:space="preserve">4.</w:t>
      </w:r>
      <w:r>
        <w:rPr>
          <w:sz w:val="22"/>
          <w:szCs w:val="22"/>
        </w:rPr>
        <w:t xml:space="preserve">5</w:t>
      </w:r>
      <w:r>
        <w:rPr>
          <w:sz w:val="22"/>
          <w:szCs w:val="22"/>
        </w:rPr>
        <w:t xml:space="preserve">. В случае неисполнения или ненадлежащего исполнения Продавцом принятых по настоящему договору обязательств, Покупатель вправе произвести оплату по настоящему договору за вычетом соответствующего размера неустойки (штрафа, пени).</w:t>
      </w:r>
      <w:r>
        <w:t xml:space="preserve"> </w:t>
      </w:r>
      <w:r>
        <w:rPr>
          <w:sz w:val="22"/>
          <w:szCs w:val="22"/>
        </w:rPr>
        <w:t xml:space="preserve">При этом Покупатель направляет Продавцу претензионное письмо, в ко</w:t>
      </w:r>
      <w:r>
        <w:rPr>
          <w:sz w:val="22"/>
          <w:szCs w:val="22"/>
        </w:rPr>
        <w:t xml:space="preserve">тором указываются: сумма, подлежащая оплате в соответствии с условиями договора; размер неустойки (штрафа, пени), подлежащий взысканию; основания применения и порядок расчета неустойки (штрафа, пени); итоговая сумма, подлежащая оплате Продавцу по договору.</w:t>
      </w:r>
      <w:r>
        <w:rPr>
          <w:sz w:val="22"/>
          <w:szCs w:val="22"/>
        </w:rPr>
      </w:r>
    </w:p>
    <w:p>
      <w:pPr>
        <w:pBdr/>
        <w:spacing w:line="240" w:lineRule="auto"/>
        <w:ind w:firstLine="540"/>
        <w:rPr>
          <w:sz w:val="22"/>
          <w:szCs w:val="22"/>
        </w:rPr>
      </w:pPr>
      <w:r>
        <w:rPr>
          <w:sz w:val="22"/>
          <w:szCs w:val="22"/>
        </w:rPr>
        <w:t xml:space="preserve">4.</w:t>
      </w:r>
      <w:r>
        <w:rPr>
          <w:sz w:val="22"/>
          <w:szCs w:val="22"/>
        </w:rPr>
        <w:t xml:space="preserve">6</w:t>
      </w:r>
      <w:r>
        <w:rPr>
          <w:sz w:val="22"/>
          <w:szCs w:val="22"/>
        </w:rPr>
        <w:t xml:space="preserve">. Моментом оплаты считается дата списания денежных сре</w:t>
      </w:r>
      <w:r>
        <w:rPr>
          <w:sz w:val="22"/>
          <w:szCs w:val="22"/>
        </w:rPr>
        <w:t xml:space="preserve">дств с р</w:t>
      </w:r>
      <w:r>
        <w:rPr>
          <w:sz w:val="22"/>
          <w:szCs w:val="22"/>
        </w:rPr>
        <w:t xml:space="preserve">асчетного счета </w:t>
      </w:r>
      <w:r>
        <w:rPr>
          <w:sz w:val="22"/>
          <w:szCs w:val="22"/>
        </w:rPr>
        <w:t xml:space="preserve">Покупателя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</w:p>
    <w:p>
      <w:pPr>
        <w:pBdr/>
        <w:spacing w:line="240" w:lineRule="auto"/>
        <w:ind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5. Ответственность сторон</w:t>
      </w:r>
      <w:r>
        <w:rPr>
          <w:b/>
          <w:sz w:val="22"/>
          <w:szCs w:val="22"/>
        </w:rPr>
      </w:r>
    </w:p>
    <w:p>
      <w:pPr>
        <w:pStyle w:val="729"/>
        <w:pBdr/>
        <w:spacing/>
        <w:ind w:firstLine="709" w:left="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5.1. Стороны несут ответственность за нарушение принятых на себя обязательств в соответствии с действующим законодательством Российской Федерации.</w:t>
      </w:r>
      <w:r>
        <w:rPr>
          <w:color w:val="auto"/>
          <w:sz w:val="22"/>
          <w:szCs w:val="22"/>
        </w:rPr>
      </w:r>
    </w:p>
    <w:p>
      <w:pPr>
        <w:pStyle w:val="728"/>
        <w:pBdr/>
        <w:spacing w:after="0"/>
        <w:ind w:right="0" w:firstLine="709" w:left="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5.2. </w:t>
      </w:r>
      <w:r>
        <w:rPr>
          <w:color w:val="auto"/>
          <w:sz w:val="22"/>
          <w:szCs w:val="22"/>
        </w:rPr>
        <w:t xml:space="preserve">B </w:t>
      </w:r>
      <w:r>
        <w:rPr>
          <w:color w:val="auto"/>
          <w:sz w:val="22"/>
          <w:szCs w:val="22"/>
        </w:rPr>
        <w:t xml:space="preserve">случае</w:t>
      </w:r>
      <w:r>
        <w:rPr>
          <w:color w:val="auto"/>
          <w:sz w:val="22"/>
          <w:szCs w:val="22"/>
        </w:rPr>
        <w:t xml:space="preserve"> просрочки исполнения Покупателем обязательства, предусмотренного настоящим Договором, а также в иных случаях неисполнения или ненадлежащего исполнения Продавцом обязательств, предусмотренных Договором,</w:t>
      </w:r>
      <w:r>
        <w:rPr>
          <w:color w:val="auto"/>
          <w:sz w:val="22"/>
          <w:szCs w:val="22"/>
        </w:rPr>
        <w:t xml:space="preserve"> Продавец</w:t>
      </w:r>
      <w:r>
        <w:rPr>
          <w:color w:val="auto"/>
          <w:sz w:val="22"/>
          <w:szCs w:val="22"/>
        </w:rPr>
        <w:t xml:space="preserve"> вправе потребовать уплату неустойки. Неустойка начисляется за каждый день просрочки исполнения обязательства, предусмотренного настоящим Договором, начиная со дня, следующег</w:t>
      </w:r>
      <w:r>
        <w:rPr>
          <w:color w:val="auto"/>
          <w:sz w:val="22"/>
          <w:szCs w:val="22"/>
        </w:rPr>
        <w:t xml:space="preserve">о после дня истечения, установленного настоящим Договором срока исполнения обязательства. Размер такой неустойки устанавливается в размере одной трехсотой действующей на день уплаты неустойки ставки рефинансирования Центрального банка Российской Федерации.</w:t>
      </w:r>
      <w:r>
        <w:rPr>
          <w:color w:val="auto"/>
          <w:sz w:val="22"/>
          <w:szCs w:val="22"/>
        </w:rPr>
      </w:r>
    </w:p>
    <w:p>
      <w:pPr>
        <w:pStyle w:val="728"/>
        <w:pBdr/>
        <w:spacing w:after="0"/>
        <w:ind w:right="0" w:firstLine="709" w:left="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Покупатель освобождается от уплаты неустойки, если докажет, что просрочка исполнения указанного обязательства произошла вследствие непреодолимой силы или по вине другой Стороны.</w:t>
      </w:r>
      <w:r>
        <w:t xml:space="preserve"> </w:t>
      </w:r>
      <w:r>
        <w:rPr>
          <w:color w:val="auto"/>
          <w:sz w:val="22"/>
          <w:szCs w:val="22"/>
        </w:rPr>
        <w:t xml:space="preserve">Покупатель не несет ответственности за нарушение сроков оплаты в случае </w:t>
      </w:r>
      <w:r>
        <w:rPr>
          <w:color w:val="auto"/>
          <w:sz w:val="22"/>
          <w:szCs w:val="22"/>
        </w:rPr>
        <w:t xml:space="preserve">непредоставления</w:t>
      </w:r>
      <w:r>
        <w:rPr>
          <w:color w:val="auto"/>
          <w:sz w:val="22"/>
          <w:szCs w:val="22"/>
        </w:rPr>
        <w:t xml:space="preserve"> либо предоставления не надлежащим образом оформленных документов на оплату и (или) предоставления неполного пакета документов на оплату.</w:t>
      </w:r>
      <w:r>
        <w:rPr>
          <w:color w:val="auto"/>
          <w:sz w:val="22"/>
          <w:szCs w:val="22"/>
        </w:rPr>
      </w:r>
    </w:p>
    <w:p>
      <w:pPr>
        <w:pBdr/>
        <w:spacing w:line="240" w:lineRule="auto"/>
        <w:ind w:firstLine="709"/>
        <w:rPr>
          <w:sz w:val="22"/>
          <w:szCs w:val="22"/>
        </w:rPr>
      </w:pPr>
      <w:r>
        <w:rPr>
          <w:sz w:val="22"/>
          <w:szCs w:val="22"/>
        </w:rPr>
        <w:t xml:space="preserve">5.3. B </w:t>
      </w:r>
      <w:r>
        <w:rPr>
          <w:sz w:val="22"/>
          <w:szCs w:val="22"/>
        </w:rPr>
        <w:t xml:space="preserve">случае</w:t>
      </w:r>
      <w:r>
        <w:rPr>
          <w:sz w:val="22"/>
          <w:szCs w:val="22"/>
        </w:rPr>
        <w:t xml:space="preserve"> просрочки доставки товара к Продавцу применяются штрафные санкции (неустойка). Неустойка начисляется в размере 0,5% от цены настоящего Договора за каждый день просрочки доставки, начиная со дня, следующего за днем исполнения обязательства.</w:t>
      </w:r>
      <w:r>
        <w:rPr>
          <w:sz w:val="22"/>
          <w:szCs w:val="22"/>
        </w:rPr>
      </w:r>
    </w:p>
    <w:p>
      <w:pPr>
        <w:pBdr/>
        <w:spacing w:line="240" w:lineRule="auto"/>
        <w:ind w:firstLine="709"/>
        <w:rPr>
          <w:sz w:val="22"/>
          <w:szCs w:val="22"/>
        </w:rPr>
      </w:pPr>
      <w:r>
        <w:rPr>
          <w:sz w:val="22"/>
          <w:szCs w:val="22"/>
        </w:rPr>
        <w:t xml:space="preserve">Общая сумма начисленной неустойки за неисполнение или ненадлежащее исполнение обязательств, предусмотренных Договором, для </w:t>
      </w:r>
      <w:r>
        <w:rPr>
          <w:sz w:val="22"/>
          <w:szCs w:val="22"/>
        </w:rPr>
        <w:t xml:space="preserve">Покупателя</w:t>
      </w:r>
      <w:r>
        <w:rPr>
          <w:sz w:val="22"/>
          <w:szCs w:val="22"/>
        </w:rPr>
        <w:t xml:space="preserve"> или П</w:t>
      </w:r>
      <w:r>
        <w:rPr>
          <w:sz w:val="22"/>
          <w:szCs w:val="22"/>
        </w:rPr>
        <w:t xml:space="preserve">родавца</w:t>
      </w:r>
      <w:r>
        <w:rPr>
          <w:sz w:val="22"/>
          <w:szCs w:val="22"/>
        </w:rPr>
        <w:t xml:space="preserve">, не может превышать цену Договора.</w:t>
      </w:r>
      <w:r>
        <w:rPr>
          <w:sz w:val="22"/>
          <w:szCs w:val="22"/>
        </w:rPr>
      </w:r>
    </w:p>
    <w:p>
      <w:pPr>
        <w:pBdr/>
        <w:spacing w:line="240" w:lineRule="auto"/>
        <w:ind w:firstLine="709"/>
        <w:rPr>
          <w:sz w:val="22"/>
          <w:szCs w:val="22"/>
        </w:rPr>
      </w:pPr>
      <w:r>
        <w:rPr>
          <w:sz w:val="22"/>
          <w:szCs w:val="22"/>
        </w:rPr>
        <w:t xml:space="preserve">Уплата неустойки не освобождает Продавца от надлежащего исполнения принятых по настоящему Договору обязательств.</w:t>
      </w:r>
      <w:r>
        <w:rPr>
          <w:sz w:val="22"/>
          <w:szCs w:val="22"/>
        </w:rPr>
      </w:r>
    </w:p>
    <w:p>
      <w:pPr>
        <w:pBdr/>
        <w:spacing w:line="240" w:lineRule="auto"/>
        <w:ind w:firstLine="709"/>
        <w:rPr>
          <w:sz w:val="22"/>
          <w:szCs w:val="22"/>
        </w:rPr>
      </w:pPr>
      <w:r>
        <w:rPr>
          <w:sz w:val="22"/>
          <w:szCs w:val="22"/>
        </w:rPr>
        <w:t xml:space="preserve">Продавец освобождается от уплаты неустойки, если докажет, что не исполнение или ненадлежащее исполнение указанного обстоятельства произошло вследствие непреодолимой силы или по вине другой Стороны.</w:t>
      </w:r>
      <w:r>
        <w:rPr>
          <w:sz w:val="22"/>
          <w:szCs w:val="22"/>
        </w:rPr>
      </w:r>
    </w:p>
    <w:p>
      <w:pPr>
        <w:pBdr/>
        <w:tabs>
          <w:tab w:val="left" w:leader="none" w:pos="993"/>
        </w:tabs>
        <w:spacing w:line="240" w:lineRule="auto"/>
        <w:ind/>
        <w:rPr>
          <w:sz w:val="22"/>
          <w:szCs w:val="22"/>
        </w:rPr>
      </w:pPr>
      <w:r>
        <w:rPr>
          <w:sz w:val="22"/>
          <w:szCs w:val="22"/>
        </w:rPr>
        <w:t xml:space="preserve">5.4</w:t>
      </w:r>
      <w:r>
        <w:rPr>
          <w:sz w:val="22"/>
          <w:szCs w:val="22"/>
        </w:rPr>
        <w:t xml:space="preserve">. Риск случайной гибели или случайного повреждения товара до его приемки </w:t>
      </w:r>
      <w:r>
        <w:rPr>
          <w:sz w:val="22"/>
          <w:szCs w:val="22"/>
        </w:rPr>
        <w:t xml:space="preserve">Покупателем</w:t>
      </w:r>
      <w:r>
        <w:rPr>
          <w:sz w:val="22"/>
          <w:szCs w:val="22"/>
        </w:rPr>
        <w:t xml:space="preserve"> несет П</w:t>
      </w:r>
      <w:r>
        <w:rPr>
          <w:sz w:val="22"/>
          <w:szCs w:val="22"/>
        </w:rPr>
        <w:t xml:space="preserve">родавец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</w:p>
    <w:p>
      <w:pPr>
        <w:pBdr/>
        <w:spacing w:line="240" w:lineRule="auto"/>
        <w:ind/>
        <w:jc w:val="center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 w:line="240" w:lineRule="auto"/>
        <w:ind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6. Обстоятельства непреодолимой силы</w:t>
      </w:r>
      <w:r>
        <w:rPr>
          <w:b/>
          <w:sz w:val="22"/>
          <w:szCs w:val="22"/>
        </w:rPr>
      </w:r>
    </w:p>
    <w:p>
      <w:pPr>
        <w:pBdr/>
        <w:spacing w:line="240" w:lineRule="auto"/>
        <w:ind w:firstLine="709"/>
        <w:rPr>
          <w:sz w:val="22"/>
          <w:szCs w:val="22"/>
        </w:rPr>
      </w:pPr>
      <w:r>
        <w:rPr>
          <w:sz w:val="22"/>
          <w:szCs w:val="22"/>
        </w:rPr>
        <w:t xml:space="preserve">6.1.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Стороны освобождаются от ответственности за частичное или полное неисполнение обязательств по До</w:t>
      </w:r>
      <w:r>
        <w:rPr>
          <w:sz w:val="22"/>
          <w:szCs w:val="22"/>
        </w:rPr>
        <w:t xml:space="preserve">говору, если такое неисполнение явилось следствием наступления обстоятельств непреодолимой силы, т.е. обстоятельств, которые возникли помимо воли и желания сторон, и которые стороны не могли предвидеть и/или предотвратить на момент заключения Договора. Так</w:t>
      </w:r>
      <w:r>
        <w:rPr>
          <w:sz w:val="22"/>
          <w:szCs w:val="22"/>
        </w:rPr>
        <w:t xml:space="preserve">ими обстоятельствами являются: нормативно-правовой акт государственного органа, делающий невозможным исполнение Договора любой из Сторон, а также иные обстоятельства непреодолимой силы, являющиеся таковыми в соответствии с действующим законодательством РФ.</w:t>
      </w:r>
      <w:r>
        <w:rPr>
          <w:sz w:val="22"/>
          <w:szCs w:val="22"/>
        </w:rPr>
      </w:r>
    </w:p>
    <w:p>
      <w:pPr>
        <w:pBdr/>
        <w:spacing w:line="240" w:lineRule="auto"/>
        <w:ind w:firstLine="709"/>
        <w:rPr>
          <w:sz w:val="22"/>
          <w:szCs w:val="22"/>
        </w:rPr>
      </w:pPr>
      <w:r>
        <w:rPr>
          <w:sz w:val="22"/>
          <w:szCs w:val="22"/>
        </w:rPr>
        <w:t xml:space="preserve">6.2. В случае наступления указанных в п. 6.1 обстоятельств, удостоверенных органом власти, срок исполнения обязательств по настоящему Договору отодвигается на период действия этих обстоятельств.</w:t>
      </w:r>
      <w:r>
        <w:rPr>
          <w:sz w:val="22"/>
          <w:szCs w:val="22"/>
        </w:rPr>
      </w:r>
    </w:p>
    <w:p>
      <w:pPr>
        <w:keepNext w:val="true"/>
        <w:keepLines w:val="true"/>
        <w:widowControl w:val="false"/>
        <w:pBdr/>
        <w:spacing w:line="240" w:lineRule="auto"/>
        <w:ind w:firstLine="720"/>
        <w:rPr>
          <w:sz w:val="22"/>
          <w:szCs w:val="22"/>
        </w:rPr>
      </w:pPr>
      <w:r>
        <w:rPr>
          <w:sz w:val="22"/>
          <w:szCs w:val="22"/>
        </w:rPr>
        <w:t xml:space="preserve">6.3. Сторона, для которой стало невозможным исполнение обязательств по настоящему Договору в силу наступления обстоятельств, указанных в п. 6.1 настоящего Договора, должна уведомить об этом другую сторону не позднее 5 (пяти) дней от даты их возникновения.</w:t>
      </w:r>
      <w:r>
        <w:rPr>
          <w:sz w:val="22"/>
          <w:szCs w:val="22"/>
        </w:rPr>
      </w:r>
    </w:p>
    <w:p>
      <w:pPr>
        <w:keepNext w:val="true"/>
        <w:keepLines w:val="true"/>
        <w:widowControl w:val="false"/>
        <w:pBdr/>
        <w:spacing w:line="240" w:lineRule="auto"/>
        <w:ind w:firstLine="720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730"/>
        <w:pBdr/>
        <w:tabs>
          <w:tab w:val="left" w:leader="none" w:pos="-2520"/>
          <w:tab w:val="left" w:leader="none" w:pos="1260"/>
          <w:tab w:val="left" w:leader="none" w:pos="5460"/>
        </w:tabs>
        <w:spacing/>
        <w:ind w:firstLine="0" w:left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7. Срок действия Договора. </w:t>
      </w:r>
      <w:r>
        <w:rPr>
          <w:b/>
          <w:sz w:val="22"/>
          <w:szCs w:val="22"/>
        </w:rPr>
        <w:t xml:space="preserve">Р</w:t>
      </w:r>
      <w:r>
        <w:rPr>
          <w:b/>
          <w:sz w:val="22"/>
          <w:szCs w:val="22"/>
        </w:rPr>
        <w:t xml:space="preserve">асторжение договора. </w:t>
      </w:r>
      <w:r>
        <w:rPr>
          <w:b/>
          <w:sz w:val="22"/>
          <w:szCs w:val="22"/>
        </w:rPr>
        <w:t xml:space="preserve">Заключительные условия Договора</w:t>
      </w:r>
      <w:r>
        <w:rPr>
          <w:b/>
          <w:sz w:val="22"/>
          <w:szCs w:val="22"/>
        </w:rPr>
      </w:r>
    </w:p>
    <w:p>
      <w:pPr>
        <w:pStyle w:val="726"/>
        <w:pBdr/>
        <w:tabs>
          <w:tab w:val="left" w:leader="none" w:pos="5460"/>
        </w:tabs>
        <w:spacing/>
        <w:ind w:right="0" w:firstLine="709" w:left="0"/>
        <w:rPr>
          <w:color w:val="auto"/>
          <w:sz w:val="22"/>
        </w:rPr>
      </w:pPr>
      <w:r>
        <w:rPr>
          <w:color w:val="auto"/>
          <w:sz w:val="22"/>
        </w:rPr>
        <w:t xml:space="preserve">7.1. Настоящий Договор вступает в силу с момента его подп</w:t>
      </w:r>
      <w:r>
        <w:rPr>
          <w:color w:val="auto"/>
          <w:sz w:val="22"/>
        </w:rPr>
        <w:t xml:space="preserve">исания и действует до 30.12.2026</w:t>
      </w:r>
      <w:r>
        <w:rPr>
          <w:color w:val="auto"/>
          <w:sz w:val="22"/>
        </w:rPr>
        <w:t xml:space="preserve"> </w:t>
      </w:r>
      <w:r>
        <w:rPr>
          <w:color w:val="auto"/>
          <w:sz w:val="22"/>
        </w:rPr>
        <w:t xml:space="preserve">г., а в части расчетов – до полного исполнения сторонами своих обязательств.</w:t>
      </w:r>
      <w:r>
        <w:rPr>
          <w:color w:val="auto"/>
          <w:sz w:val="22"/>
        </w:rPr>
        <w:t xml:space="preserve"> </w:t>
      </w:r>
      <w:r>
        <w:rPr>
          <w:color w:val="auto"/>
          <w:sz w:val="22"/>
        </w:rPr>
        <w:t xml:space="preserve">Окончание срока действия Договора влечет прекращение обязатель</w:t>
      </w:r>
      <w:r>
        <w:rPr>
          <w:color w:val="auto"/>
          <w:sz w:val="22"/>
        </w:rPr>
        <w:t xml:space="preserve">ств ст</w:t>
      </w:r>
      <w:r>
        <w:rPr>
          <w:color w:val="auto"/>
          <w:sz w:val="22"/>
        </w:rPr>
        <w:t xml:space="preserve">орон по Договору, за исключением неисполненных обязательств Сторон по Договору, в том числе гарантийных обязательств Продавца.</w:t>
      </w:r>
      <w:r>
        <w:rPr>
          <w:color w:val="auto"/>
          <w:sz w:val="22"/>
        </w:rPr>
      </w:r>
    </w:p>
    <w:p>
      <w:pPr>
        <w:pBdr/>
        <w:spacing w:line="240" w:lineRule="auto"/>
        <w:ind w:firstLine="709"/>
        <w:rPr>
          <w:sz w:val="22"/>
          <w:szCs w:val="22"/>
        </w:rPr>
      </w:pPr>
      <w:r>
        <w:rPr>
          <w:sz w:val="22"/>
          <w:szCs w:val="22"/>
        </w:rPr>
        <w:t xml:space="preserve">7.2. </w:t>
      </w:r>
      <w:r>
        <w:rPr>
          <w:sz w:val="22"/>
          <w:szCs w:val="22"/>
        </w:rPr>
        <w:t xml:space="preserve">Настоящий Договор может быть расторгнут:</w:t>
      </w:r>
      <w:r>
        <w:rPr>
          <w:sz w:val="22"/>
          <w:szCs w:val="22"/>
        </w:rPr>
      </w:r>
    </w:p>
    <w:p>
      <w:pPr>
        <w:pBdr/>
        <w:spacing w:line="240" w:lineRule="auto"/>
        <w:ind w:firstLine="709"/>
        <w:rPr>
          <w:sz w:val="22"/>
          <w:szCs w:val="22"/>
        </w:rPr>
      </w:pPr>
      <w:r>
        <w:rPr>
          <w:sz w:val="22"/>
          <w:szCs w:val="22"/>
        </w:rPr>
        <w:t xml:space="preserve">- по соглашению Сторон;</w:t>
      </w:r>
      <w:r>
        <w:rPr>
          <w:sz w:val="22"/>
          <w:szCs w:val="22"/>
        </w:rPr>
      </w:r>
    </w:p>
    <w:p>
      <w:pPr>
        <w:pBdr/>
        <w:spacing w:line="240" w:lineRule="auto"/>
        <w:ind w:firstLine="709"/>
        <w:rPr>
          <w:sz w:val="22"/>
          <w:szCs w:val="22"/>
        </w:rPr>
      </w:pPr>
      <w:r>
        <w:rPr>
          <w:sz w:val="22"/>
          <w:szCs w:val="22"/>
        </w:rPr>
        <w:t xml:space="preserve">- в судебном порядке,</w:t>
      </w:r>
      <w:r>
        <w:rPr>
          <w:sz w:val="22"/>
          <w:szCs w:val="22"/>
        </w:rPr>
      </w:r>
    </w:p>
    <w:p>
      <w:pPr>
        <w:pBdr/>
        <w:spacing w:line="240" w:lineRule="auto"/>
        <w:ind w:firstLine="709"/>
        <w:rPr>
          <w:sz w:val="22"/>
          <w:szCs w:val="22"/>
        </w:rPr>
      </w:pPr>
      <w:r>
        <w:rPr>
          <w:sz w:val="22"/>
          <w:szCs w:val="22"/>
        </w:rPr>
        <w:t xml:space="preserve">- в результате одностороннего отказа Покупателя от исполнения Договора в случаях, предусмотренных Гражданским законодательством Российской Федерации и настоящим Договором.</w:t>
      </w:r>
      <w:r>
        <w:rPr>
          <w:sz w:val="22"/>
          <w:szCs w:val="22"/>
        </w:rPr>
      </w:r>
    </w:p>
    <w:p>
      <w:pPr>
        <w:pBdr/>
        <w:spacing w:line="240" w:lineRule="auto"/>
        <w:ind w:firstLine="709"/>
        <w:rPr>
          <w:sz w:val="22"/>
          <w:szCs w:val="22"/>
        </w:rPr>
      </w:pPr>
      <w:r/>
      <w:bookmarkStart w:id="15" w:name="_Hlk85120342"/>
      <w:r>
        <w:rPr>
          <w:sz w:val="22"/>
          <w:szCs w:val="22"/>
        </w:rPr>
        <w:t xml:space="preserve">7.3. Основаниями для одностороннего отказа Покупателем от исполнения договора являются:</w:t>
      </w:r>
      <w:r>
        <w:rPr>
          <w:sz w:val="22"/>
          <w:szCs w:val="22"/>
        </w:rPr>
      </w:r>
    </w:p>
    <w:p>
      <w:pPr>
        <w:pBdr/>
        <w:spacing w:line="240" w:lineRule="auto"/>
        <w:ind w:firstLine="709"/>
        <w:rPr>
          <w:sz w:val="22"/>
          <w:szCs w:val="22"/>
        </w:rPr>
      </w:pPr>
      <w:r>
        <w:rPr>
          <w:sz w:val="22"/>
          <w:szCs w:val="22"/>
        </w:rPr>
        <w:t xml:space="preserve">- в случае поставки товаров ненадлежащего качества с недостатками, которые не могут быть устранены в установленные Заказчиком сроки;</w:t>
      </w:r>
      <w:r>
        <w:rPr>
          <w:sz w:val="22"/>
          <w:szCs w:val="22"/>
        </w:rPr>
      </w:r>
    </w:p>
    <w:p>
      <w:pPr>
        <w:pBdr/>
        <w:spacing w:line="240" w:lineRule="auto"/>
        <w:ind w:firstLine="709"/>
        <w:rPr>
          <w:sz w:val="22"/>
          <w:szCs w:val="22"/>
        </w:rPr>
      </w:pPr>
      <w:r>
        <w:rPr>
          <w:sz w:val="22"/>
          <w:szCs w:val="22"/>
        </w:rPr>
        <w:t xml:space="preserve">- в случае поставки некомплектных товаров в случае, если поставщик, получивший уведомление заказчика, в установленный Покупателем срок не выполнил требования заказчика о доукомплектовании товаров или не заменил их комплектными товарами;</w:t>
      </w:r>
      <w:r>
        <w:rPr>
          <w:sz w:val="22"/>
          <w:szCs w:val="22"/>
        </w:rPr>
      </w:r>
    </w:p>
    <w:p>
      <w:pPr>
        <w:pBdr/>
        <w:spacing w:line="240" w:lineRule="auto"/>
        <w:ind w:firstLine="709"/>
        <w:rPr>
          <w:sz w:val="22"/>
          <w:szCs w:val="22"/>
        </w:rPr>
      </w:pPr>
      <w:r>
        <w:rPr>
          <w:sz w:val="22"/>
          <w:szCs w:val="22"/>
        </w:rPr>
        <w:t xml:space="preserve">- в случае неоднократного (два и более) или существенного (более четырнадцати дней) нарушения сроков поставки товаров, указанных в договоре;</w:t>
      </w:r>
      <w:r>
        <w:rPr>
          <w:sz w:val="22"/>
          <w:szCs w:val="22"/>
        </w:rPr>
      </w:r>
    </w:p>
    <w:p>
      <w:pPr>
        <w:pBdr/>
        <w:spacing w:line="240" w:lineRule="auto"/>
        <w:ind w:firstLine="709"/>
        <w:rPr>
          <w:sz w:val="22"/>
          <w:szCs w:val="22"/>
        </w:rPr>
      </w:pPr>
      <w:r>
        <w:rPr>
          <w:sz w:val="22"/>
          <w:szCs w:val="22"/>
        </w:rPr>
        <w:t xml:space="preserve">- в случае установления факта несоответствия участника закупки, поставляемого товара, вып</w:t>
      </w:r>
      <w:r>
        <w:rPr>
          <w:sz w:val="22"/>
          <w:szCs w:val="22"/>
        </w:rPr>
        <w:t xml:space="preserve">олняемой работы, оказываемой услуги требованиям документации закупки или предоставления участником закупки недостоверной информации в составе заявки на участие в закупке, что позволило ему стать победителем определения поставщика (подрядчика, исполнителя);</w:t>
      </w:r>
      <w:r>
        <w:rPr>
          <w:sz w:val="22"/>
          <w:szCs w:val="22"/>
        </w:rPr>
      </w:r>
    </w:p>
    <w:p>
      <w:pPr>
        <w:pBdr/>
        <w:spacing w:line="240" w:lineRule="auto"/>
        <w:ind w:firstLine="709"/>
        <w:rPr>
          <w:sz w:val="22"/>
          <w:szCs w:val="22"/>
        </w:rPr>
      </w:pPr>
      <w:r>
        <w:rPr>
          <w:sz w:val="22"/>
          <w:szCs w:val="22"/>
        </w:rPr>
        <w:t xml:space="preserve">– иным основания, прямо предусмотренным Гражданским кодексом Российской Федерации.</w:t>
      </w:r>
      <w:bookmarkEnd w:id="15"/>
      <w:r>
        <w:rPr>
          <w:sz w:val="22"/>
          <w:szCs w:val="22"/>
        </w:rPr>
      </w:r>
    </w:p>
    <w:p>
      <w:pPr>
        <w:pBdr/>
        <w:spacing w:line="240" w:lineRule="auto"/>
        <w:ind w:firstLine="709"/>
        <w:rPr>
          <w:sz w:val="22"/>
          <w:szCs w:val="22"/>
        </w:rPr>
      </w:pPr>
      <w:r>
        <w:rPr>
          <w:sz w:val="22"/>
          <w:szCs w:val="22"/>
        </w:rPr>
        <w:t xml:space="preserve">7.4</w:t>
      </w:r>
      <w:r>
        <w:rPr>
          <w:sz w:val="22"/>
          <w:szCs w:val="22"/>
        </w:rPr>
        <w:t xml:space="preserve">. B части, не урегулированной настоящим Договором, отношения Сторон регулируются законодательством Российской Федерации. </w:t>
      </w:r>
      <w:r>
        <w:rPr>
          <w:sz w:val="22"/>
          <w:szCs w:val="22"/>
        </w:rPr>
      </w:r>
    </w:p>
    <w:p>
      <w:pPr>
        <w:pBdr/>
        <w:spacing w:line="240" w:lineRule="auto"/>
        <w:ind w:firstLine="709"/>
        <w:rPr>
          <w:sz w:val="22"/>
          <w:szCs w:val="22"/>
        </w:rPr>
      </w:pPr>
      <w:r>
        <w:rPr>
          <w:sz w:val="22"/>
          <w:szCs w:val="22"/>
        </w:rPr>
        <w:t xml:space="preserve">7.5</w:t>
      </w:r>
      <w:r>
        <w:rPr>
          <w:sz w:val="22"/>
          <w:szCs w:val="22"/>
        </w:rPr>
        <w:t xml:space="preserve">. Изменения и дополнения к Договору, предусмотренные законодательством о размещении закупок, действительны лишь в том случае, если они оформлены в письменной форме и подписаны представителями обеих Сторон по соглашению сторон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</w:p>
    <w:p>
      <w:pPr>
        <w:keepNext w:val="true"/>
        <w:keepLines w:val="true"/>
        <w:pBdr/>
        <w:spacing w:line="240" w:lineRule="auto"/>
        <w:ind w:firstLine="709"/>
        <w:rPr>
          <w:sz w:val="22"/>
          <w:szCs w:val="22"/>
        </w:rPr>
      </w:pPr>
      <w:r>
        <w:rPr>
          <w:sz w:val="22"/>
          <w:szCs w:val="22"/>
        </w:rPr>
        <w:t xml:space="preserve">7.</w:t>
      </w:r>
      <w:r>
        <w:rPr>
          <w:sz w:val="22"/>
          <w:szCs w:val="22"/>
        </w:rPr>
        <w:t xml:space="preserve">6</w:t>
      </w:r>
      <w:r>
        <w:rPr>
          <w:sz w:val="22"/>
          <w:szCs w:val="22"/>
        </w:rPr>
        <w:t xml:space="preserve">. 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  <w:r>
        <w:rPr>
          <w:sz w:val="22"/>
          <w:szCs w:val="22"/>
        </w:rPr>
      </w:r>
    </w:p>
    <w:p>
      <w:pPr>
        <w:keepLines w:val="true"/>
        <w:pBdr/>
        <w:spacing w:line="240" w:lineRule="auto"/>
        <w:ind w:firstLine="709"/>
        <w:rPr>
          <w:sz w:val="22"/>
          <w:szCs w:val="22"/>
        </w:rPr>
      </w:pPr>
      <w:r>
        <w:rPr>
          <w:sz w:val="22"/>
          <w:szCs w:val="22"/>
        </w:rPr>
        <w:t xml:space="preserve">7.</w:t>
      </w:r>
      <w:r>
        <w:rPr>
          <w:sz w:val="22"/>
          <w:szCs w:val="22"/>
        </w:rPr>
        <w:t xml:space="preserve">7</w:t>
      </w:r>
      <w:r>
        <w:rPr>
          <w:sz w:val="22"/>
          <w:szCs w:val="22"/>
        </w:rPr>
        <w:t xml:space="preserve">. В случае невозможности разрешения споров путем переговоров, стороны должны направлять претензии.</w:t>
      </w:r>
      <w:r>
        <w:rPr>
          <w:sz w:val="22"/>
          <w:szCs w:val="22"/>
        </w:rPr>
      </w:r>
    </w:p>
    <w:p>
      <w:pPr>
        <w:keepLines w:val="true"/>
        <w:pBdr/>
        <w:spacing w:line="240" w:lineRule="auto"/>
        <w:ind w:firstLine="709"/>
        <w:rPr>
          <w:sz w:val="22"/>
          <w:szCs w:val="22"/>
        </w:rPr>
      </w:pPr>
      <w:r>
        <w:rPr>
          <w:sz w:val="22"/>
          <w:szCs w:val="22"/>
        </w:rPr>
        <w:t xml:space="preserve">7.</w:t>
      </w:r>
      <w:r>
        <w:rPr>
          <w:sz w:val="22"/>
          <w:szCs w:val="22"/>
        </w:rPr>
        <w:t xml:space="preserve">8</w:t>
      </w:r>
      <w:r>
        <w:rPr>
          <w:sz w:val="22"/>
          <w:szCs w:val="22"/>
        </w:rPr>
        <w:t xml:space="preserve">. Претензии должны направляться в письменной форме и рассматриваться сторонами в 15-ти </w:t>
      </w:r>
      <w:r>
        <w:rPr>
          <w:sz w:val="22"/>
          <w:szCs w:val="22"/>
        </w:rPr>
        <w:t xml:space="preserve">дневный</w:t>
      </w:r>
      <w:r>
        <w:rPr>
          <w:sz w:val="22"/>
          <w:szCs w:val="22"/>
        </w:rPr>
        <w:t xml:space="preserve"> срок с момента получения претензии.</w:t>
      </w:r>
      <w:r>
        <w:rPr>
          <w:sz w:val="22"/>
          <w:szCs w:val="22"/>
        </w:rPr>
      </w:r>
    </w:p>
    <w:p>
      <w:pPr>
        <w:keepLines w:val="true"/>
        <w:pBdr/>
        <w:spacing w:line="240" w:lineRule="auto"/>
        <w:ind w:firstLine="709"/>
        <w:rPr>
          <w:sz w:val="22"/>
          <w:szCs w:val="22"/>
        </w:rPr>
      </w:pPr>
      <w:r>
        <w:rPr>
          <w:sz w:val="22"/>
          <w:szCs w:val="22"/>
        </w:rPr>
        <w:t xml:space="preserve">Стороны признают обязательную силу за перепиской посредством информационной телекоммуникационной сети «Интернет» по адресам электронной почты, указанным в настоящем договоре, и пересылаемыми посредством нее документами (содержимое электронных писем). </w:t>
      </w:r>
      <w:r>
        <w:rPr>
          <w:sz w:val="22"/>
          <w:szCs w:val="22"/>
        </w:rPr>
      </w:r>
    </w:p>
    <w:p>
      <w:pPr>
        <w:keepLines w:val="true"/>
        <w:pBdr/>
        <w:spacing w:line="240" w:lineRule="auto"/>
        <w:ind w:firstLine="0"/>
        <w:rPr>
          <w:sz w:val="22"/>
          <w:szCs w:val="22"/>
        </w:rPr>
      </w:pPr>
      <w:r>
        <w:rPr>
          <w:sz w:val="22"/>
          <w:szCs w:val="22"/>
        </w:rPr>
        <w:t xml:space="preserve">Адрес электронной почты Покупателя ___________________geosp2007@yandex.ru____________;</w:t>
      </w:r>
      <w:r>
        <w:rPr>
          <w:sz w:val="22"/>
          <w:szCs w:val="22"/>
        </w:rPr>
      </w:r>
    </w:p>
    <w:p>
      <w:pPr>
        <w:keepLines w:val="true"/>
        <w:pBdr/>
        <w:spacing w:line="240" w:lineRule="auto"/>
        <w:ind w:firstLine="0"/>
        <w:rPr>
          <w:sz w:val="22"/>
          <w:szCs w:val="22"/>
        </w:rPr>
      </w:pPr>
      <w:r>
        <w:rPr>
          <w:sz w:val="22"/>
          <w:szCs w:val="22"/>
        </w:rPr>
        <w:t xml:space="preserve">Адрес электронной почты Продавца _________________________________________.</w:t>
      </w:r>
      <w:r>
        <w:rPr>
          <w:sz w:val="22"/>
          <w:szCs w:val="22"/>
        </w:rPr>
      </w:r>
    </w:p>
    <w:p>
      <w:pPr>
        <w:keepLines w:val="true"/>
        <w:pBdr/>
        <w:spacing w:line="240" w:lineRule="auto"/>
        <w:ind w:firstLine="708"/>
        <w:rPr>
          <w:sz w:val="22"/>
          <w:szCs w:val="22"/>
        </w:rPr>
      </w:pPr>
      <w:r>
        <w:rPr>
          <w:sz w:val="22"/>
          <w:szCs w:val="22"/>
        </w:rPr>
        <w:t xml:space="preserve">Любое извещение или уведомление, направленное посредством электронной почты</w:t>
      </w:r>
      <w:r>
        <w:rPr>
          <w:sz w:val="22"/>
          <w:szCs w:val="22"/>
        </w:rPr>
        <w:t xml:space="preserve"> и иной формой связи</w:t>
      </w:r>
      <w:r>
        <w:rPr>
          <w:sz w:val="22"/>
          <w:szCs w:val="22"/>
        </w:rPr>
        <w:t xml:space="preserve"> считается полученным Стороной, которой </w:t>
      </w:r>
      <w:r>
        <w:rPr>
          <w:sz w:val="22"/>
          <w:szCs w:val="22"/>
        </w:rPr>
        <w:t xml:space="preserve">оно адресовано, в день отправки</w:t>
      </w:r>
      <w:r>
        <w:rPr>
          <w:sz w:val="22"/>
          <w:szCs w:val="22"/>
        </w:rPr>
        <w:t xml:space="preserve"> посредством электронной почты</w:t>
      </w:r>
      <w:r>
        <w:rPr>
          <w:sz w:val="22"/>
          <w:szCs w:val="22"/>
        </w:rPr>
        <w:t xml:space="preserve"> (</w:t>
      </w:r>
      <w:r>
        <w:rPr>
          <w:sz w:val="22"/>
          <w:szCs w:val="22"/>
          <w:lang w:eastAsia="ar-SA"/>
        </w:rPr>
        <w:t xml:space="preserve">в соответствии со статьей 165.1 Гражданского Кодекса Российской Федерации)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</w:p>
    <w:p>
      <w:pPr>
        <w:keepLines w:val="true"/>
        <w:pBdr/>
        <w:spacing w:line="240" w:lineRule="auto"/>
        <w:ind w:firstLine="709"/>
        <w:rPr>
          <w:sz w:val="22"/>
          <w:szCs w:val="22"/>
        </w:rPr>
      </w:pPr>
      <w:r>
        <w:rPr>
          <w:sz w:val="22"/>
          <w:szCs w:val="22"/>
        </w:rPr>
        <w:t xml:space="preserve">В случае полного или частичного отказа в удовлетворении претензии, либо неполучения в срок ответа на претензию, спор рассматривается в арбитражном суде Ставропольского края.</w:t>
      </w:r>
      <w:r>
        <w:rPr>
          <w:sz w:val="22"/>
          <w:szCs w:val="22"/>
        </w:rPr>
      </w:r>
    </w:p>
    <w:p>
      <w:pPr>
        <w:pBdr/>
        <w:spacing w:line="240" w:lineRule="auto"/>
        <w:ind w:firstLine="709"/>
        <w:rPr>
          <w:sz w:val="22"/>
          <w:szCs w:val="22"/>
        </w:rPr>
      </w:pPr>
      <w:r>
        <w:rPr>
          <w:sz w:val="22"/>
          <w:szCs w:val="22"/>
        </w:rPr>
        <w:t xml:space="preserve">7.</w:t>
      </w:r>
      <w:r>
        <w:rPr>
          <w:sz w:val="22"/>
          <w:szCs w:val="22"/>
        </w:rPr>
        <w:t xml:space="preserve">9</w:t>
      </w:r>
      <w:r>
        <w:rPr>
          <w:sz w:val="22"/>
          <w:szCs w:val="22"/>
        </w:rPr>
        <w:t xml:space="preserve">. При изменении адреса Стороны обязуются извещать друг друга о таких изменениях в пятидневный срок. B противном </w:t>
      </w:r>
      <w:r>
        <w:rPr>
          <w:sz w:val="22"/>
          <w:szCs w:val="22"/>
        </w:rPr>
        <w:t xml:space="preserve">случае</w:t>
      </w:r>
      <w:r>
        <w:rPr>
          <w:sz w:val="22"/>
          <w:szCs w:val="22"/>
        </w:rPr>
        <w:t xml:space="preserve"> сообщения, претензии, переданные по последнему известному адресу, считаются переданными надлежащим образом.</w:t>
      </w:r>
      <w:r>
        <w:rPr>
          <w:sz w:val="22"/>
          <w:szCs w:val="22"/>
        </w:rPr>
      </w:r>
    </w:p>
    <w:p>
      <w:pPr>
        <w:pBdr/>
        <w:spacing w:line="240" w:lineRule="auto"/>
        <w:ind w:firstLine="709"/>
        <w:rPr>
          <w:sz w:val="22"/>
          <w:szCs w:val="22"/>
        </w:rPr>
      </w:pPr>
      <w:r>
        <w:rPr>
          <w:sz w:val="22"/>
          <w:szCs w:val="22"/>
        </w:rPr>
        <w:t xml:space="preserve">7.10</w:t>
      </w:r>
      <w:r>
        <w:rPr>
          <w:sz w:val="22"/>
          <w:szCs w:val="22"/>
        </w:rPr>
        <w:t xml:space="preserve">. Настоящий договор составлен в электронной форме, подписан усиленными электронными подписями Сторон и имеет одинаковую юридическую силу для них. После заключения договора каждая из Сторон вправе перенести договор на бумажный носитель.</w:t>
      </w:r>
      <w:r>
        <w:rPr>
          <w:sz w:val="22"/>
          <w:szCs w:val="22"/>
        </w:rPr>
      </w:r>
    </w:p>
    <w:p>
      <w:pPr>
        <w:widowControl w:val="false"/>
        <w:pBdr/>
        <w:spacing w:line="240" w:lineRule="auto"/>
        <w:ind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8. Реквизиты и подписи сторон</w:t>
      </w:r>
      <w:r>
        <w:rPr>
          <w:b/>
          <w:sz w:val="22"/>
          <w:szCs w:val="22"/>
        </w:rPr>
      </w:r>
    </w:p>
    <w:p>
      <w:pPr>
        <w:widowControl w:val="false"/>
        <w:pBdr/>
        <w:spacing w:line="240" w:lineRule="auto"/>
        <w:ind/>
        <w:rPr>
          <w:b/>
          <w:sz w:val="22"/>
          <w:szCs w:val="22"/>
        </w:rPr>
      </w:pP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2" w:type="dxa"/>
            <w:textDirection w:val="lrTb"/>
            <w:noWrap w:val="false"/>
          </w:tcPr>
          <w:p>
            <w:pPr>
              <w:pBdr/>
              <w:tabs>
                <w:tab w:val="left" w:leader="none" w:pos="180"/>
                <w:tab w:val="left" w:leader="none" w:pos="360"/>
                <w:tab w:val="left" w:leader="none" w:pos="540"/>
              </w:tabs>
              <w:spacing w:line="240" w:lineRule="auto"/>
              <w:ind w:firstLine="0"/>
              <w:rPr>
                <w:rFonts w:eastAsia="Cambria"/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 xml:space="preserve">ГАУЗ СК «Георгиевская стоматологическая</w:t>
            </w:r>
            <w:r>
              <w:rPr>
                <w:rFonts w:eastAsia="Cambria"/>
                <w:sz w:val="22"/>
                <w:szCs w:val="22"/>
                <w:lang w:eastAsia="ar-SA"/>
              </w:rPr>
            </w:r>
          </w:p>
          <w:p>
            <w:pPr>
              <w:pBdr/>
              <w:tabs>
                <w:tab w:val="left" w:leader="none" w:pos="180"/>
                <w:tab w:val="left" w:leader="none" w:pos="360"/>
                <w:tab w:val="left" w:leader="none" w:pos="540"/>
              </w:tabs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поликлиника»</w:t>
            </w:r>
            <w:r>
              <w:rPr>
                <w:sz w:val="22"/>
                <w:szCs w:val="22"/>
              </w:rPr>
            </w:r>
          </w:p>
          <w:p>
            <w:pPr>
              <w:pBdr/>
              <w:tabs>
                <w:tab w:val="left" w:leader="none" w:pos="180"/>
                <w:tab w:val="left" w:leader="none" w:pos="360"/>
                <w:tab w:val="left" w:leader="none" w:pos="540"/>
              </w:tabs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357820, СК, г. Георгиевск, ул. Лермонтова,59</w:t>
            </w:r>
            <w:r>
              <w:rPr>
                <w:sz w:val="22"/>
                <w:szCs w:val="22"/>
              </w:rPr>
            </w:r>
          </w:p>
          <w:p>
            <w:pPr>
              <w:pBdr/>
              <w:tabs>
                <w:tab w:val="left" w:leader="none" w:pos="180"/>
                <w:tab w:val="left" w:leader="none" w:pos="360"/>
                <w:tab w:val="left" w:leader="none" w:pos="540"/>
              </w:tabs>
              <w:spacing w:line="240" w:lineRule="auto"/>
              <w:ind w:firstLine="0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 xml:space="preserve">ИНН 2625013173, КПП 262501001</w:t>
            </w:r>
            <w:r>
              <w:rPr>
                <w:sz w:val="22"/>
                <w:szCs w:val="22"/>
                <w:highlight w:val="yellow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3" w:type="dxa"/>
            <w:textDirection w:val="lrTb"/>
            <w:noWrap w:val="false"/>
          </w:tcPr>
          <w:p>
            <w:pPr>
              <w:pBdr/>
              <w:spacing w:line="240" w:lineRule="auto"/>
              <w:ind/>
              <w:rPr>
                <w:rFonts w:eastAsia="Cambria"/>
                <w:sz w:val="22"/>
                <w:szCs w:val="22"/>
                <w:highlight w:val="yellow"/>
                <w:lang w:eastAsia="ar-SA"/>
              </w:rPr>
            </w:pPr>
            <w:r>
              <w:rPr>
                <w:rFonts w:eastAsia="Cambria"/>
                <w:sz w:val="22"/>
                <w:szCs w:val="22"/>
                <w:highlight w:val="yellow"/>
                <w:lang w:eastAsia="ar-SA"/>
              </w:rPr>
            </w:r>
            <w:r>
              <w:rPr>
                <w:rFonts w:eastAsia="Cambria"/>
                <w:sz w:val="22"/>
                <w:szCs w:val="22"/>
                <w:highlight w:val="yellow"/>
                <w:lang w:eastAsia="ar-SA"/>
              </w:rPr>
            </w:r>
          </w:p>
        </w:tc>
      </w:tr>
    </w:tbl>
    <w:p>
      <w:pPr>
        <w:widowControl w:val="false"/>
        <w:pBdr/>
        <w:spacing w:line="240" w:lineRule="auto"/>
        <w:ind w:firstLine="0"/>
        <w:rPr>
          <w:b/>
          <w:sz w:val="22"/>
          <w:szCs w:val="22"/>
        </w:rPr>
      </w:pP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tbl>
      <w:tblPr>
        <w:tblW w:w="0" w:type="auto"/>
        <w:tblBorders/>
        <w:tblpPr w:horzAnchor="margin" w:tblpXSpec="left" w:vertAnchor="text" w:tblpY="279" w:leftFromText="180" w:topFromText="0" w:rightFromText="180" w:bottomFromText="0"/>
        <w:tblLook w:val="04A0" w:firstRow="1" w:lastRow="0" w:firstColumn="1" w:lastColumn="0" w:noHBand="0" w:noVBand="1"/>
      </w:tblPr>
      <w:tblGrid>
        <w:gridCol w:w="5097"/>
        <w:gridCol w:w="4474"/>
      </w:tblGrid>
      <w:tr>
        <w:trPr/>
        <w:tc>
          <w:tcPr>
            <w:tcBorders/>
            <w:tcW w:w="5097" w:type="dxa"/>
            <w:textDirection w:val="lrTb"/>
            <w:noWrap w:val="false"/>
          </w:tcPr>
          <w:p>
            <w:pPr>
              <w:pStyle w:val="722"/>
              <w:keepNext w:val="true"/>
              <w:keepLines w:val="true"/>
              <w:pBdr/>
              <w:tabs>
                <w:tab w:val="left" w:leader="none" w:pos="1080"/>
                <w:tab w:val="left" w:leader="none" w:pos="1440"/>
              </w:tabs>
              <w:spacing/>
              <w:ind/>
              <w:rPr>
                <w:b/>
              </w:rPr>
            </w:pPr>
            <w:r>
              <w:rPr>
                <w:b/>
              </w:rPr>
              <w:t xml:space="preserve">Покупатель </w:t>
            </w:r>
            <w:r>
              <w:rPr>
                <w:b/>
              </w:rPr>
            </w:r>
          </w:p>
          <w:p>
            <w:pPr>
              <w:pStyle w:val="722"/>
              <w:keepNext w:val="true"/>
              <w:keepLines w:val="true"/>
              <w:pBdr/>
              <w:tabs>
                <w:tab w:val="left" w:leader="none" w:pos="1080"/>
                <w:tab w:val="left" w:leader="none" w:pos="1440"/>
              </w:tabs>
              <w:spacing/>
              <w:ind/>
              <w:rPr>
                <w:rFonts w:eastAsia="Cambria"/>
                <w:b/>
                <w:lang w:eastAsia="ar-SA"/>
              </w:rPr>
            </w:pPr>
            <w:r>
              <w:rPr>
                <w:rFonts w:eastAsia="Cambria"/>
                <w:b/>
                <w:lang w:eastAsia="ar-SA"/>
              </w:rPr>
            </w:r>
            <w:r>
              <w:rPr>
                <w:rFonts w:eastAsia="Cambria"/>
                <w:b/>
                <w:lang w:eastAsia="ar-SA"/>
              </w:rPr>
            </w:r>
          </w:p>
          <w:p>
            <w:pPr>
              <w:keepNext w:val="true"/>
              <w:keepLines w:val="true"/>
              <w:pBdr/>
              <w:tabs>
                <w:tab w:val="right" w:leader="none" w:pos="4543"/>
              </w:tabs>
              <w:spacing w:line="240" w:lineRule="auto"/>
              <w:ind w:firstLine="0"/>
              <w:rPr>
                <w:rFonts w:eastAsia="Cambria"/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 xml:space="preserve">_________________Д.Э.Амбарц</w:t>
            </w:r>
            <w:r>
              <w:rPr>
                <w:sz w:val="22"/>
                <w:szCs w:val="22"/>
              </w:rPr>
              <w:t xml:space="preserve">у</w:t>
            </w:r>
            <w:r>
              <w:rPr>
                <w:sz w:val="22"/>
                <w:szCs w:val="22"/>
              </w:rPr>
              <w:t xml:space="preserve">мов</w:t>
            </w:r>
            <w:r>
              <w:rPr>
                <w:rFonts w:eastAsia="Cambria"/>
                <w:sz w:val="22"/>
                <w:szCs w:val="22"/>
                <w:lang w:eastAsia="ar-SA"/>
              </w:rPr>
            </w:r>
          </w:p>
        </w:tc>
        <w:tc>
          <w:tcPr>
            <w:tcBorders/>
            <w:tcW w:w="4474" w:type="dxa"/>
            <w:textDirection w:val="lrTb"/>
            <w:noWrap w:val="false"/>
          </w:tcPr>
          <w:p>
            <w:pPr>
              <w:widowControl w:val="false"/>
              <w:pBdr/>
              <w:spacing w:line="240" w:lineRule="auto"/>
              <w:ind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Продавец</w:t>
            </w:r>
            <w:r>
              <w:rPr>
                <w:b/>
                <w:bCs/>
                <w:sz w:val="22"/>
                <w:szCs w:val="22"/>
              </w:rPr>
            </w:r>
          </w:p>
          <w:p>
            <w:pPr>
              <w:widowControl w:val="false"/>
              <w:pBdr/>
              <w:spacing w:line="240" w:lineRule="auto"/>
              <w:ind/>
              <w:rPr>
                <w:rFonts w:eastAsia="Cambria"/>
                <w:b/>
                <w:bCs/>
                <w:sz w:val="22"/>
                <w:szCs w:val="22"/>
                <w:lang w:eastAsia="ar-SA"/>
              </w:rPr>
            </w:pPr>
            <w:r>
              <w:rPr>
                <w:rFonts w:eastAsia="Cambria"/>
                <w:b/>
                <w:bCs/>
                <w:sz w:val="22"/>
                <w:szCs w:val="22"/>
                <w:lang w:eastAsia="ar-SA"/>
              </w:rPr>
            </w:r>
            <w:r>
              <w:rPr>
                <w:rFonts w:eastAsia="Cambria"/>
                <w:b/>
                <w:bCs/>
                <w:sz w:val="22"/>
                <w:szCs w:val="22"/>
                <w:lang w:eastAsia="ar-SA"/>
              </w:rPr>
            </w:r>
          </w:p>
          <w:p>
            <w:pPr>
              <w:widowControl w:val="false"/>
              <w:pBdr/>
              <w:spacing w:line="240" w:lineRule="auto"/>
              <w:ind/>
              <w:rPr>
                <w:rFonts w:eastAsia="Cambria"/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u w:val="single"/>
              </w:rPr>
              <w:t xml:space="preserve">__________________________</w:t>
            </w:r>
            <w:r>
              <w:rPr>
                <w:rFonts w:eastAsia="Cambria"/>
                <w:sz w:val="22"/>
                <w:szCs w:val="22"/>
                <w:lang w:eastAsia="ar-SA"/>
              </w:rPr>
            </w:r>
          </w:p>
        </w:tc>
      </w:tr>
    </w:tbl>
    <w:p>
      <w:pPr>
        <w:pStyle w:val="722"/>
        <w:pBdr/>
        <w:spacing/>
        <w:ind/>
        <w:rPr/>
      </w:pPr>
      <w:r/>
      <w:r/>
    </w:p>
    <w:p>
      <w:pPr>
        <w:pStyle w:val="722"/>
        <w:pBdr/>
        <w:spacing/>
        <w:ind/>
        <w:rPr/>
      </w:pPr>
      <w:r>
        <w:t xml:space="preserve">м.п.                                                                                </w:t>
      </w:r>
      <w:r>
        <w:t xml:space="preserve">м</w:t>
      </w:r>
      <w:r>
        <w:t xml:space="preserve">.</w:t>
      </w:r>
      <w:bookmarkStart w:id="16" w:name="_Ref322609074"/>
      <w:r/>
      <w:r/>
    </w:p>
    <w:p>
      <w:pPr>
        <w:pStyle w:val="722"/>
        <w:pBdr/>
        <w:spacing/>
        <w:ind/>
        <w:jc w:val="center"/>
        <w:rPr>
          <w:b/>
        </w:rPr>
      </w:pPr>
      <w:r>
        <w:rPr>
          <w:b/>
        </w:rPr>
      </w:r>
      <w:r>
        <w:rPr>
          <w:b/>
        </w:rPr>
      </w:r>
    </w:p>
    <w:p>
      <w:pPr>
        <w:pStyle w:val="722"/>
        <w:pBdr/>
        <w:spacing/>
        <w:ind/>
        <w:jc w:val="center"/>
        <w:rPr>
          <w:b/>
        </w:rPr>
      </w:pPr>
      <w:r>
        <w:rPr>
          <w:b/>
        </w:rPr>
      </w:r>
      <w:r>
        <w:rPr>
          <w:b/>
        </w:rPr>
      </w:r>
    </w:p>
    <w:p>
      <w:pPr>
        <w:pStyle w:val="722"/>
        <w:pBdr/>
        <w:spacing/>
        <w:ind/>
        <w:jc w:val="center"/>
        <w:rPr>
          <w:b/>
        </w:rPr>
      </w:pPr>
      <w:r>
        <w:rPr>
          <w:b/>
        </w:rPr>
      </w:r>
      <w:r>
        <w:rPr>
          <w:b/>
        </w:rPr>
      </w:r>
    </w:p>
    <w:p>
      <w:pPr>
        <w:pStyle w:val="722"/>
        <w:pBdr/>
        <w:spacing/>
        <w:ind/>
        <w:jc w:val="center"/>
        <w:rPr>
          <w:b/>
        </w:rPr>
      </w:pPr>
      <w:r>
        <w:rPr>
          <w:b/>
        </w:rPr>
      </w:r>
      <w:r>
        <w:rPr>
          <w:b/>
        </w:rPr>
      </w:r>
    </w:p>
    <w:p>
      <w:pPr>
        <w:pStyle w:val="722"/>
        <w:pBdr/>
        <w:spacing/>
        <w:ind/>
        <w:jc w:val="center"/>
        <w:rPr>
          <w:b/>
        </w:rPr>
      </w:pPr>
      <w:r>
        <w:rPr>
          <w:b/>
        </w:rPr>
      </w:r>
      <w:r>
        <w:rPr>
          <w:b/>
        </w:rPr>
      </w:r>
    </w:p>
    <w:p>
      <w:pPr>
        <w:pStyle w:val="722"/>
        <w:pBdr/>
        <w:spacing/>
        <w:ind/>
        <w:jc w:val="center"/>
        <w:rPr>
          <w:b/>
        </w:rPr>
      </w:pPr>
      <w:r>
        <w:rPr>
          <w:b/>
        </w:rPr>
      </w:r>
      <w:r>
        <w:rPr>
          <w:b/>
        </w:rPr>
      </w:r>
    </w:p>
    <w:p>
      <w:pPr>
        <w:pStyle w:val="722"/>
        <w:pBdr/>
        <w:spacing/>
        <w:ind/>
        <w:jc w:val="center"/>
        <w:rPr>
          <w:b/>
        </w:rPr>
      </w:pPr>
      <w:r>
        <w:rPr>
          <w:b/>
        </w:rPr>
      </w:r>
      <w:r>
        <w:rPr>
          <w:b/>
        </w:rPr>
      </w:r>
    </w:p>
    <w:p>
      <w:pPr>
        <w:pStyle w:val="722"/>
        <w:pBdr/>
        <w:spacing/>
        <w:ind/>
        <w:jc w:val="center"/>
        <w:rPr>
          <w:b/>
        </w:rPr>
      </w:pPr>
      <w:r>
        <w:rPr>
          <w:b/>
        </w:rPr>
      </w:r>
      <w:r>
        <w:rPr>
          <w:b/>
        </w:rPr>
      </w:r>
    </w:p>
    <w:p>
      <w:pPr>
        <w:pStyle w:val="722"/>
        <w:pBdr/>
        <w:spacing/>
        <w:ind/>
        <w:jc w:val="center"/>
        <w:rPr>
          <w:b/>
        </w:rPr>
      </w:pPr>
      <w:r>
        <w:rPr>
          <w:b/>
        </w:rPr>
      </w:r>
      <w:r>
        <w:rPr>
          <w:b/>
        </w:rPr>
      </w:r>
    </w:p>
    <w:p>
      <w:pPr>
        <w:pStyle w:val="722"/>
        <w:pBdr/>
        <w:spacing/>
        <w:ind/>
        <w:jc w:val="center"/>
        <w:rPr>
          <w:b/>
        </w:rPr>
      </w:pPr>
      <w:r>
        <w:rPr>
          <w:b/>
        </w:rPr>
      </w:r>
      <w:r>
        <w:rPr>
          <w:b/>
        </w:rPr>
      </w:r>
    </w:p>
    <w:p>
      <w:pPr>
        <w:pStyle w:val="722"/>
        <w:pBdr/>
        <w:spacing/>
        <w:ind/>
        <w:jc w:val="center"/>
        <w:rPr>
          <w:b/>
        </w:rPr>
      </w:pPr>
      <w:r>
        <w:rPr>
          <w:b/>
        </w:rPr>
      </w:r>
      <w:r>
        <w:rPr>
          <w:b/>
        </w:rPr>
      </w:r>
    </w:p>
    <w:p>
      <w:pPr>
        <w:pStyle w:val="722"/>
        <w:pBdr/>
        <w:spacing/>
        <w:ind/>
        <w:jc w:val="center"/>
        <w:rPr>
          <w:b/>
        </w:rPr>
      </w:pPr>
      <w:r>
        <w:rPr>
          <w:b/>
        </w:rPr>
      </w:r>
      <w:r>
        <w:rPr>
          <w:b/>
        </w:rPr>
      </w:r>
    </w:p>
    <w:p>
      <w:pPr>
        <w:pStyle w:val="722"/>
        <w:pBdr/>
        <w:spacing/>
        <w:ind/>
        <w:jc w:val="center"/>
        <w:rPr>
          <w:b/>
        </w:rPr>
      </w:pPr>
      <w:r>
        <w:rPr>
          <w:b/>
        </w:rPr>
      </w:r>
      <w:r>
        <w:rPr>
          <w:b/>
        </w:rPr>
      </w:r>
    </w:p>
    <w:p>
      <w:pPr>
        <w:pStyle w:val="722"/>
        <w:pBdr/>
        <w:spacing/>
        <w:ind/>
        <w:jc w:val="center"/>
        <w:rPr>
          <w:b/>
        </w:rPr>
      </w:pPr>
      <w:r>
        <w:rPr>
          <w:b/>
        </w:rPr>
      </w:r>
      <w:r>
        <w:rPr>
          <w:b/>
        </w:rPr>
      </w:r>
    </w:p>
    <w:p>
      <w:pPr>
        <w:pStyle w:val="722"/>
        <w:pBdr/>
        <w:spacing/>
        <w:ind/>
        <w:jc w:val="center"/>
        <w:rPr>
          <w:b/>
        </w:rPr>
      </w:pPr>
      <w:r>
        <w:rPr>
          <w:b/>
        </w:rPr>
      </w:r>
      <w:r>
        <w:rPr>
          <w:b/>
        </w:rPr>
      </w:r>
    </w:p>
    <w:p>
      <w:pPr>
        <w:pStyle w:val="722"/>
        <w:pBdr/>
        <w:spacing/>
        <w:ind/>
        <w:jc w:val="center"/>
        <w:rPr>
          <w:b/>
        </w:rPr>
      </w:pPr>
      <w:r>
        <w:rPr>
          <w:b/>
        </w:rPr>
      </w:r>
      <w:r>
        <w:rPr>
          <w:b/>
        </w:rPr>
      </w:r>
    </w:p>
    <w:p>
      <w:pPr>
        <w:pStyle w:val="722"/>
        <w:pBdr/>
        <w:spacing/>
        <w:ind/>
        <w:jc w:val="center"/>
        <w:rPr>
          <w:b/>
        </w:rPr>
      </w:pPr>
      <w:r>
        <w:rPr>
          <w:b/>
        </w:rPr>
      </w:r>
      <w:r>
        <w:rPr>
          <w:b/>
        </w:rPr>
      </w:r>
    </w:p>
    <w:p>
      <w:pPr>
        <w:pStyle w:val="722"/>
        <w:pBdr/>
        <w:spacing/>
        <w:ind/>
        <w:jc w:val="center"/>
        <w:rPr>
          <w:b/>
        </w:rPr>
      </w:pPr>
      <w:r>
        <w:rPr>
          <w:b/>
        </w:rPr>
      </w:r>
      <w:r>
        <w:rPr>
          <w:b/>
        </w:rPr>
      </w:r>
    </w:p>
    <w:p>
      <w:pPr>
        <w:pStyle w:val="722"/>
        <w:pBdr/>
        <w:spacing/>
        <w:ind/>
        <w:jc w:val="center"/>
        <w:rPr>
          <w:b/>
        </w:rPr>
      </w:pPr>
      <w:r>
        <w:rPr>
          <w:b/>
        </w:rPr>
      </w:r>
      <w:r>
        <w:rPr>
          <w:b/>
        </w:rPr>
      </w:r>
    </w:p>
    <w:p>
      <w:pPr>
        <w:pStyle w:val="722"/>
        <w:pBdr/>
        <w:spacing/>
        <w:ind/>
        <w:jc w:val="center"/>
        <w:rPr>
          <w:b/>
        </w:rPr>
      </w:pPr>
      <w:r>
        <w:rPr>
          <w:b/>
        </w:rPr>
      </w:r>
      <w:r>
        <w:rPr>
          <w:b/>
        </w:rPr>
      </w:r>
    </w:p>
    <w:p>
      <w:pPr>
        <w:pStyle w:val="722"/>
        <w:pBdr/>
        <w:spacing/>
        <w:ind/>
        <w:jc w:val="center"/>
        <w:rPr>
          <w:b/>
        </w:rPr>
      </w:pPr>
      <w:r>
        <w:rPr>
          <w:b/>
        </w:rPr>
      </w:r>
      <w:r>
        <w:rPr>
          <w:b/>
        </w:rPr>
      </w:r>
    </w:p>
    <w:p>
      <w:pPr>
        <w:pStyle w:val="722"/>
        <w:pBdr/>
        <w:spacing/>
        <w:ind/>
        <w:jc w:val="center"/>
        <w:rPr>
          <w:b/>
        </w:rPr>
      </w:pPr>
      <w:r>
        <w:rPr>
          <w:b/>
        </w:rPr>
      </w:r>
      <w:r>
        <w:rPr>
          <w:b/>
        </w:rPr>
      </w:r>
    </w:p>
    <w:p>
      <w:pPr>
        <w:pStyle w:val="722"/>
        <w:pBdr/>
        <w:spacing/>
        <w:ind/>
        <w:jc w:val="center"/>
        <w:rPr>
          <w:b/>
        </w:rPr>
      </w:pPr>
      <w:r>
        <w:rPr>
          <w:b/>
        </w:rPr>
      </w:r>
      <w:r>
        <w:rPr>
          <w:b/>
        </w:rPr>
      </w:r>
    </w:p>
    <w:p>
      <w:pPr>
        <w:pStyle w:val="722"/>
        <w:pBdr/>
        <w:spacing/>
        <w:ind/>
        <w:rPr>
          <w:b/>
        </w:rPr>
      </w:pPr>
      <w:r>
        <w:rPr>
          <w:b/>
        </w:rPr>
      </w:r>
      <w:r>
        <w:rPr>
          <w:b/>
        </w:rPr>
      </w:r>
    </w:p>
    <w:p>
      <w:pPr>
        <w:pStyle w:val="722"/>
        <w:pBdr/>
        <w:spacing/>
        <w:ind/>
        <w:rPr>
          <w:b/>
        </w:rPr>
      </w:pPr>
      <w:r>
        <w:rPr>
          <w:b/>
        </w:rPr>
      </w:r>
      <w:r>
        <w:rPr>
          <w:b/>
        </w:rPr>
      </w:r>
    </w:p>
    <w:p>
      <w:pPr>
        <w:pStyle w:val="722"/>
        <w:pBdr/>
        <w:spacing/>
        <w:ind/>
        <w:rPr>
          <w:b/>
        </w:rPr>
      </w:pPr>
      <w:r>
        <w:rPr>
          <w:b/>
        </w:rPr>
      </w:r>
      <w:r>
        <w:rPr>
          <w:b/>
        </w:rPr>
      </w:r>
    </w:p>
    <w:p>
      <w:pPr>
        <w:pStyle w:val="722"/>
        <w:pBdr/>
        <w:spacing/>
        <w:ind/>
        <w:rPr>
          <w:b/>
        </w:rPr>
      </w:pPr>
      <w:r>
        <w:rPr>
          <w:b/>
        </w:rPr>
      </w:r>
      <w:r>
        <w:rPr>
          <w:b/>
        </w:rPr>
      </w:r>
    </w:p>
    <w:p>
      <w:pPr>
        <w:pStyle w:val="722"/>
        <w:pBdr/>
        <w:spacing/>
        <w:ind/>
        <w:rPr>
          <w:b/>
        </w:rPr>
      </w:pPr>
      <w:r>
        <w:rPr>
          <w:b/>
        </w:rPr>
      </w:r>
      <w:r>
        <w:rPr>
          <w:b/>
        </w:rPr>
      </w:r>
    </w:p>
    <w:p>
      <w:pPr>
        <w:pStyle w:val="722"/>
        <w:pBdr/>
        <w:spacing/>
        <w:ind/>
        <w:rPr>
          <w:b/>
        </w:rPr>
      </w:pPr>
      <w:r>
        <w:rPr>
          <w:b/>
        </w:rPr>
      </w:r>
      <w:r>
        <w:rPr>
          <w:b/>
        </w:rPr>
      </w:r>
    </w:p>
    <w:p>
      <w:pPr>
        <w:pStyle w:val="722"/>
        <w:pBdr/>
        <w:spacing/>
        <w:ind/>
        <w:rPr>
          <w:b/>
        </w:rPr>
      </w:pPr>
      <w:r>
        <w:rPr>
          <w:b/>
        </w:rPr>
      </w:r>
      <w:r>
        <w:rPr>
          <w:b/>
        </w:rPr>
      </w:r>
    </w:p>
    <w:p>
      <w:pPr>
        <w:pStyle w:val="722"/>
        <w:pBdr/>
        <w:spacing/>
        <w:ind/>
        <w:rPr>
          <w:b/>
        </w:rPr>
      </w:pPr>
      <w:r>
        <w:rPr>
          <w:b/>
        </w:rPr>
      </w:r>
      <w:r>
        <w:rPr>
          <w:b/>
        </w:rPr>
      </w:r>
    </w:p>
    <w:p>
      <w:pPr>
        <w:pStyle w:val="722"/>
        <w:pBdr/>
        <w:spacing/>
        <w:ind/>
        <w:jc w:val="center"/>
        <w:rPr>
          <w:b/>
        </w:rPr>
      </w:pPr>
      <w:r>
        <w:rPr>
          <w:b/>
        </w:rPr>
      </w:r>
      <w:r>
        <w:rPr>
          <w:b/>
        </w:rPr>
      </w:r>
    </w:p>
    <w:p>
      <w:pPr>
        <w:pStyle w:val="722"/>
        <w:pBdr/>
        <w:spacing/>
        <w:ind/>
        <w:rPr>
          <w:b/>
        </w:rPr>
      </w:pPr>
      <w:r>
        <w:rPr>
          <w:b/>
        </w:rPr>
      </w:r>
      <w:r>
        <w:rPr>
          <w:b/>
        </w:rPr>
      </w:r>
    </w:p>
    <w:p>
      <w:pPr>
        <w:pStyle w:val="722"/>
        <w:pBdr/>
        <w:spacing/>
        <w:ind/>
        <w:rPr>
          <w:b/>
        </w:rPr>
      </w:pPr>
      <w:r>
        <w:rPr>
          <w:b/>
        </w:rPr>
      </w:r>
      <w:r>
        <w:rPr>
          <w:b/>
        </w:rPr>
      </w:r>
    </w:p>
    <w:p>
      <w:pPr>
        <w:pStyle w:val="722"/>
        <w:pBdr/>
        <w:spacing/>
        <w:ind/>
        <w:rPr>
          <w:b/>
        </w:rPr>
      </w:pPr>
      <w:r>
        <w:rPr>
          <w:b/>
        </w:rPr>
      </w:r>
      <w:r>
        <w:rPr>
          <w:b/>
        </w:rPr>
      </w:r>
    </w:p>
    <w:p>
      <w:pPr>
        <w:pStyle w:val="722"/>
        <w:pBdr/>
        <w:spacing/>
        <w:ind/>
        <w:rPr>
          <w:b/>
        </w:rPr>
      </w:pPr>
      <w:r>
        <w:rPr>
          <w:b/>
        </w:rPr>
      </w:r>
      <w:r>
        <w:rPr>
          <w:b/>
        </w:rPr>
      </w:r>
    </w:p>
    <w:p>
      <w:pPr>
        <w:pStyle w:val="722"/>
        <w:pBdr/>
        <w:spacing/>
        <w:ind/>
        <w:rPr>
          <w:b/>
        </w:rPr>
      </w:pPr>
      <w:r>
        <w:rPr>
          <w:b/>
        </w:rPr>
      </w:r>
      <w:r>
        <w:rPr>
          <w:b/>
        </w:rPr>
      </w:r>
    </w:p>
    <w:p>
      <w:pPr>
        <w:pStyle w:val="722"/>
        <w:pBdr/>
        <w:spacing/>
        <w:ind/>
        <w:rPr>
          <w:b/>
        </w:rPr>
      </w:pPr>
      <w:r>
        <w:rPr>
          <w:b/>
        </w:rPr>
      </w:r>
      <w:r>
        <w:rPr>
          <w:b/>
        </w:rPr>
      </w:r>
    </w:p>
    <w:p>
      <w:pPr>
        <w:pStyle w:val="722"/>
        <w:pBdr/>
        <w:spacing/>
        <w:ind/>
        <w:rPr>
          <w:b/>
        </w:rPr>
      </w:pPr>
      <w:r>
        <w:rPr>
          <w:b/>
        </w:rPr>
      </w:r>
      <w:r>
        <w:rPr>
          <w:b/>
        </w:rPr>
      </w:r>
    </w:p>
    <w:p>
      <w:pPr>
        <w:pStyle w:val="722"/>
        <w:pBdr/>
        <w:spacing/>
        <w:ind/>
        <w:rPr>
          <w:b/>
        </w:rPr>
      </w:pPr>
      <w:r>
        <w:rPr>
          <w:b/>
        </w:rPr>
      </w:r>
      <w:r>
        <w:rPr>
          <w:b/>
        </w:rPr>
      </w:r>
    </w:p>
    <w:p>
      <w:pPr>
        <w:pStyle w:val="722"/>
        <w:pBdr/>
        <w:spacing/>
        <w:ind/>
        <w:rPr>
          <w:b/>
        </w:rPr>
      </w:pPr>
      <w:r>
        <w:rPr>
          <w:b/>
        </w:rPr>
      </w:r>
      <w:r>
        <w:rPr>
          <w:b/>
        </w:rPr>
      </w:r>
    </w:p>
    <w:p>
      <w:pPr>
        <w:pStyle w:val="722"/>
        <w:pBdr/>
        <w:spacing/>
        <w:ind/>
        <w:rPr>
          <w:b/>
        </w:rPr>
      </w:pPr>
      <w:r>
        <w:rPr>
          <w:b/>
        </w:rPr>
      </w:r>
      <w:r>
        <w:rPr>
          <w:b/>
        </w:rPr>
      </w:r>
    </w:p>
    <w:p>
      <w:pPr>
        <w:pStyle w:val="722"/>
        <w:pBdr/>
        <w:spacing/>
        <w:ind/>
        <w:jc w:val="center"/>
        <w:rPr/>
      </w:pPr>
      <w:r>
        <w:rPr>
          <w:b/>
        </w:rPr>
        <w:t xml:space="preserve">Часть 3. ОБРАЗЦЫ ФОРМ ОСНОВНЫХ ДОКУМЕНТОВ,</w:t>
      </w:r>
      <w:r/>
    </w:p>
    <w:p>
      <w:pPr>
        <w:pBdr/>
        <w:spacing w:line="240" w:lineRule="auto"/>
        <w:ind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ВКЛЮЧАЕМЫХ В ЗАЯВКУ НА УЧАСТИЕ В ЗАПРОСЕ КОТИРОВОК</w:t>
      </w:r>
      <w:r>
        <w:rPr>
          <w:b/>
          <w:sz w:val="22"/>
          <w:szCs w:val="22"/>
        </w:rPr>
      </w:r>
    </w:p>
    <w:p>
      <w:pPr>
        <w:pBdr/>
        <w:spacing w:line="240" w:lineRule="auto"/>
        <w:ind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Bdr/>
        <w:spacing w:line="240" w:lineRule="auto"/>
        <w:ind/>
        <w:jc w:val="right"/>
        <w:rPr>
          <w:b/>
          <w:sz w:val="22"/>
          <w:szCs w:val="22"/>
        </w:rPr>
      </w:pPr>
      <w:r/>
      <w:bookmarkStart w:id="17" w:name="%D1%84%D0%BE%D1%80%D0%BC%D0%B01"/>
      <w:r>
        <w:rPr>
          <w:b/>
          <w:sz w:val="22"/>
          <w:szCs w:val="22"/>
        </w:rPr>
        <w:t xml:space="preserve">Форма 1</w:t>
      </w:r>
      <w:bookmarkEnd w:id="17"/>
      <w:r/>
      <w:r>
        <w:rPr>
          <w:b/>
          <w:sz w:val="22"/>
          <w:szCs w:val="22"/>
        </w:rPr>
      </w:r>
    </w:p>
    <w:p>
      <w:pPr>
        <w:pBdr/>
        <w:spacing w:line="240" w:lineRule="auto"/>
        <w:ind w:firstLine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Фирменный бланк участника запроса котировок</w:t>
      </w:r>
      <w:r>
        <w:rPr>
          <w:b/>
          <w:sz w:val="22"/>
          <w:szCs w:val="22"/>
        </w:rPr>
      </w:r>
    </w:p>
    <w:p>
      <w:pPr>
        <w:pBdr/>
        <w:spacing w:before="120" w:line="240" w:lineRule="auto"/>
        <w:ind w:firstLine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«___» __________ 20___ года №______</w:t>
      </w:r>
      <w:r>
        <w:rPr>
          <w:bCs/>
          <w:sz w:val="22"/>
          <w:szCs w:val="22"/>
        </w:rPr>
      </w:r>
    </w:p>
    <w:p>
      <w:pPr>
        <w:pBdr/>
        <w:spacing w:before="120" w:line="240" w:lineRule="auto"/>
        <w:ind/>
        <w:rPr>
          <w:bCs/>
          <w:sz w:val="22"/>
          <w:szCs w:val="22"/>
        </w:rPr>
      </w:pPr>
      <w:r>
        <w:rPr>
          <w:bCs/>
          <w:sz w:val="22"/>
          <w:szCs w:val="22"/>
        </w:rPr>
      </w:r>
      <w:r>
        <w:rPr>
          <w:bCs/>
          <w:sz w:val="22"/>
          <w:szCs w:val="22"/>
        </w:rPr>
      </w:r>
    </w:p>
    <w:p>
      <w:pPr>
        <w:pBdr/>
        <w:spacing w:line="240" w:lineRule="auto"/>
        <w:ind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Запрос котировок в электронной форме на право заключения договора</w:t>
      </w:r>
      <w:r>
        <w:rPr>
          <w:b/>
          <w:sz w:val="22"/>
          <w:szCs w:val="22"/>
        </w:rPr>
      </w:r>
    </w:p>
    <w:p>
      <w:pPr>
        <w:pBdr/>
        <w:spacing w:line="240" w:lineRule="auto"/>
        <w:ind/>
        <w:jc w:val="center"/>
        <w:rPr>
          <w:sz w:val="22"/>
          <w:szCs w:val="22"/>
        </w:rPr>
      </w:pPr>
      <w:r>
        <w:rPr>
          <w:iCs/>
          <w:sz w:val="22"/>
          <w:szCs w:val="22"/>
        </w:rPr>
        <w:t xml:space="preserve"> </w:t>
      </w:r>
      <w:r>
        <w:rPr>
          <w:sz w:val="22"/>
          <w:szCs w:val="22"/>
        </w:rPr>
        <w:t xml:space="preserve">на ______________________</w:t>
      </w:r>
      <w:r>
        <w:rPr>
          <w:sz w:val="22"/>
          <w:szCs w:val="22"/>
        </w:rPr>
      </w:r>
    </w:p>
    <w:p>
      <w:pPr>
        <w:pBdr/>
        <w:spacing w:line="240" w:lineRule="auto"/>
        <w:ind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keepNext w:val="true"/>
        <w:pBdr/>
        <w:spacing w:line="240" w:lineRule="auto"/>
        <w:ind/>
        <w:jc w:val="center"/>
        <w:rPr>
          <w:b/>
          <w:iCs/>
          <w:sz w:val="22"/>
          <w:szCs w:val="22"/>
        </w:rPr>
      </w:pPr>
      <w:r/>
      <w:bookmarkStart w:id="18" w:name="_%D0%9F%D0%B8%D1%81%D1%8C%D0%BC%D0%BE_%D"/>
      <w:r/>
      <w:bookmarkEnd w:id="18"/>
      <w:r>
        <w:rPr>
          <w:b/>
          <w:iCs/>
          <w:sz w:val="22"/>
          <w:szCs w:val="22"/>
        </w:rPr>
        <w:t xml:space="preserve">Заявка на участие в запросе котировок</w:t>
      </w:r>
      <w:r>
        <w:rPr>
          <w:iCs/>
          <w:sz w:val="22"/>
          <w:szCs w:val="22"/>
        </w:rPr>
        <w:t xml:space="preserve"> </w:t>
      </w:r>
      <w:r>
        <w:rPr>
          <w:b/>
          <w:iCs/>
          <w:sz w:val="22"/>
          <w:szCs w:val="22"/>
        </w:rPr>
        <w:t xml:space="preserve">(Форма 1)</w:t>
      </w:r>
      <w:r>
        <w:rPr>
          <w:b/>
          <w:iCs/>
          <w:sz w:val="22"/>
          <w:szCs w:val="22"/>
        </w:rPr>
      </w:r>
    </w:p>
    <w:p>
      <w:pPr>
        <w:pBdr/>
        <w:tabs>
          <w:tab w:val="left" w:leader="none" w:pos="7938"/>
        </w:tabs>
        <w:spacing w:line="240" w:lineRule="auto"/>
        <w:ind/>
        <w:rPr>
          <w:b/>
          <w:sz w:val="22"/>
          <w:szCs w:val="22"/>
        </w:rPr>
      </w:pP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Bdr/>
        <w:spacing w:line="240" w:lineRule="auto"/>
        <w:ind w:firstLine="0"/>
        <w:rPr>
          <w:sz w:val="22"/>
          <w:szCs w:val="22"/>
        </w:rPr>
      </w:pPr>
      <w:r>
        <w:rPr>
          <w:sz w:val="22"/>
          <w:szCs w:val="22"/>
        </w:rPr>
        <w:t xml:space="preserve">Изучив извещение о проведении запроса котировок на право заключения договора на _______________________</w:t>
      </w:r>
      <w:r>
        <w:rPr>
          <w:b/>
          <w:sz w:val="22"/>
          <w:szCs w:val="22"/>
        </w:rPr>
        <w:t xml:space="preserve"> [указывается предмет договора]</w:t>
      </w:r>
      <w:r>
        <w:rPr>
          <w:sz w:val="22"/>
          <w:szCs w:val="22"/>
        </w:rPr>
        <w:t xml:space="preserve">, опубликованное на официальном сайте </w:t>
      </w:r>
      <w:r>
        <w:rPr>
          <w:b/>
          <w:sz w:val="22"/>
          <w:szCs w:val="22"/>
          <w:lang w:val="en-US"/>
        </w:rPr>
        <w:t xml:space="preserve">zakupki</w:t>
      </w:r>
      <w:r>
        <w:rPr>
          <w:b/>
          <w:sz w:val="22"/>
          <w:szCs w:val="22"/>
        </w:rPr>
        <w:t xml:space="preserve">.</w:t>
      </w:r>
      <w:r>
        <w:rPr>
          <w:b/>
          <w:sz w:val="22"/>
          <w:szCs w:val="22"/>
          <w:lang w:val="en-US"/>
        </w:rPr>
        <w:t xml:space="preserve">gov</w:t>
      </w:r>
      <w:r>
        <w:rPr>
          <w:b/>
          <w:sz w:val="22"/>
          <w:szCs w:val="22"/>
        </w:rPr>
        <w:t xml:space="preserve">.</w:t>
      </w:r>
      <w:r>
        <w:rPr>
          <w:b/>
          <w:sz w:val="22"/>
          <w:szCs w:val="22"/>
          <w:lang w:val="en-US"/>
        </w:rPr>
        <w:t xml:space="preserve">ru</w:t>
      </w:r>
      <w:r>
        <w:rPr>
          <w:sz w:val="22"/>
          <w:szCs w:val="22"/>
        </w:rPr>
        <w:t xml:space="preserve">, запрос котировок № _________ </w:t>
      </w:r>
      <w:r>
        <w:rPr>
          <w:b/>
          <w:sz w:val="22"/>
          <w:szCs w:val="22"/>
        </w:rPr>
        <w:t xml:space="preserve">[указывается номер запроса котировок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на ООС], </w:t>
      </w:r>
      <w:r>
        <w:rPr>
          <w:sz w:val="22"/>
          <w:szCs w:val="22"/>
        </w:rPr>
        <w:t xml:space="preserve">и принимая установленные в нем требования и условия запроса котировок ________________________________________________________________, </w:t>
      </w:r>
      <w:r>
        <w:rPr>
          <w:sz w:val="22"/>
          <w:szCs w:val="22"/>
        </w:rPr>
      </w:r>
    </w:p>
    <w:p>
      <w:pPr>
        <w:pBdr/>
        <w:spacing w:line="240" w:lineRule="auto"/>
        <w:ind w:firstLine="109" w:left="2018"/>
        <w:jc w:val="center"/>
        <w:rPr>
          <w:bCs/>
          <w:sz w:val="22"/>
          <w:szCs w:val="22"/>
        </w:rPr>
      </w:pPr>
      <w:r>
        <w:rPr>
          <w:b/>
          <w:bCs/>
          <w:sz w:val="22"/>
          <w:szCs w:val="22"/>
          <w:vertAlign w:val="superscript"/>
        </w:rPr>
        <w:t xml:space="preserve">(полное наименование участника запроса котировок с указанием организационно-правовой формы)</w:t>
      </w:r>
      <w:r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</w:r>
    </w:p>
    <w:p>
      <w:pPr>
        <w:pBdr/>
        <w:spacing w:line="240" w:lineRule="auto"/>
        <w:ind w:firstLine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ИНН ____________________________________________________</w:t>
      </w:r>
      <w:r>
        <w:rPr>
          <w:bCs/>
          <w:sz w:val="22"/>
          <w:szCs w:val="22"/>
        </w:rPr>
        <w:t xml:space="preserve">_____________________</w:t>
      </w:r>
      <w:r>
        <w:rPr>
          <w:bCs/>
          <w:sz w:val="22"/>
          <w:szCs w:val="22"/>
        </w:rPr>
        <w:t xml:space="preserve">,</w:t>
      </w:r>
      <w:r>
        <w:rPr>
          <w:bCs/>
          <w:sz w:val="22"/>
          <w:szCs w:val="22"/>
        </w:rPr>
      </w:r>
    </w:p>
    <w:p>
      <w:pPr>
        <w:pBdr/>
        <w:spacing w:line="240" w:lineRule="auto"/>
        <w:ind/>
        <w:jc w:val="center"/>
        <w:rPr>
          <w:b/>
          <w:bCs/>
          <w:sz w:val="22"/>
          <w:szCs w:val="22"/>
          <w:vertAlign w:val="superscript"/>
        </w:rPr>
      </w:pPr>
      <w:r>
        <w:rPr>
          <w:b/>
          <w:bCs/>
          <w:sz w:val="22"/>
          <w:szCs w:val="22"/>
          <w:vertAlign w:val="superscript"/>
        </w:rPr>
        <w:t xml:space="preserve">(ИНН участника запроса котировок)</w:t>
      </w:r>
      <w:r>
        <w:rPr>
          <w:b/>
          <w:bCs/>
          <w:sz w:val="22"/>
          <w:szCs w:val="22"/>
          <w:vertAlign w:val="superscript"/>
        </w:rPr>
      </w:r>
    </w:p>
    <w:p>
      <w:pPr>
        <w:pBdr/>
        <w:spacing w:line="240" w:lineRule="auto"/>
        <w:ind w:firstLine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зарегистрированный</w:t>
      </w:r>
      <w:r>
        <w:rPr>
          <w:bCs/>
          <w:sz w:val="22"/>
          <w:szCs w:val="22"/>
        </w:rPr>
        <w:t xml:space="preserve"> по адресу ______________________________</w:t>
      </w:r>
      <w:r>
        <w:rPr>
          <w:bCs/>
          <w:sz w:val="22"/>
          <w:szCs w:val="22"/>
        </w:rPr>
        <w:t xml:space="preserve">___________________________</w:t>
      </w:r>
      <w:r>
        <w:rPr>
          <w:bCs/>
          <w:sz w:val="22"/>
          <w:szCs w:val="22"/>
        </w:rPr>
        <w:t xml:space="preserve">,</w:t>
      </w:r>
      <w:r>
        <w:rPr>
          <w:bCs/>
          <w:sz w:val="22"/>
          <w:szCs w:val="22"/>
        </w:rPr>
      </w:r>
    </w:p>
    <w:p>
      <w:pPr>
        <w:pBdr/>
        <w:spacing w:line="240" w:lineRule="auto"/>
        <w:ind w:firstLine="709" w:left="2836"/>
        <w:jc w:val="center"/>
        <w:rPr>
          <w:b/>
          <w:bCs/>
          <w:sz w:val="22"/>
          <w:szCs w:val="22"/>
          <w:vertAlign w:val="superscript"/>
        </w:rPr>
      </w:pPr>
      <w:r>
        <w:rPr>
          <w:b/>
          <w:bCs/>
          <w:sz w:val="22"/>
          <w:szCs w:val="22"/>
          <w:vertAlign w:val="superscript"/>
        </w:rPr>
        <w:t xml:space="preserve">(юридический адрес участника запроса котировок)</w:t>
      </w:r>
      <w:r>
        <w:rPr>
          <w:b/>
          <w:bCs/>
          <w:sz w:val="22"/>
          <w:szCs w:val="22"/>
          <w:vertAlign w:val="superscript"/>
        </w:rPr>
      </w:r>
    </w:p>
    <w:p>
      <w:pPr>
        <w:pBdr/>
        <w:spacing w:line="240" w:lineRule="auto"/>
        <w:ind w:firstLine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фактический адрес ________________________________________</w:t>
      </w:r>
      <w:r>
        <w:rPr>
          <w:bCs/>
          <w:sz w:val="22"/>
          <w:szCs w:val="22"/>
        </w:rPr>
        <w:t xml:space="preserve">___________________________</w:t>
      </w:r>
      <w:r>
        <w:rPr>
          <w:bCs/>
          <w:sz w:val="22"/>
          <w:szCs w:val="22"/>
        </w:rPr>
        <w:t xml:space="preserve">,</w:t>
      </w:r>
      <w:r>
        <w:rPr>
          <w:bCs/>
          <w:sz w:val="22"/>
          <w:szCs w:val="22"/>
        </w:rPr>
      </w:r>
    </w:p>
    <w:p>
      <w:pPr>
        <w:pBdr/>
        <w:spacing w:line="240" w:lineRule="auto"/>
        <w:ind/>
        <w:jc w:val="center"/>
        <w:rPr>
          <w:b/>
          <w:bCs/>
          <w:sz w:val="22"/>
          <w:szCs w:val="22"/>
          <w:vertAlign w:val="superscript"/>
        </w:rPr>
      </w:pPr>
      <w:r>
        <w:rPr>
          <w:b/>
          <w:bCs/>
          <w:sz w:val="22"/>
          <w:szCs w:val="22"/>
          <w:vertAlign w:val="superscript"/>
        </w:rPr>
        <w:t xml:space="preserve">(фактический адрес участника запроса котировок)</w:t>
      </w:r>
      <w:r>
        <w:rPr>
          <w:b/>
          <w:bCs/>
          <w:sz w:val="22"/>
          <w:szCs w:val="22"/>
          <w:vertAlign w:val="superscript"/>
        </w:rPr>
      </w:r>
    </w:p>
    <w:p>
      <w:pPr>
        <w:pBdr/>
        <w:spacing w:line="240" w:lineRule="auto"/>
        <w:ind w:firstLine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предлагает заключить договор </w:t>
      </w:r>
      <w:r>
        <w:rPr>
          <w:bCs/>
          <w:sz w:val="22"/>
          <w:szCs w:val="22"/>
        </w:rPr>
        <w:t xml:space="preserve">на</w:t>
      </w:r>
      <w:r>
        <w:rPr>
          <w:bCs/>
          <w:sz w:val="22"/>
          <w:szCs w:val="22"/>
        </w:rPr>
        <w:t xml:space="preserve"> ____________________________</w:t>
      </w:r>
      <w:r>
        <w:rPr>
          <w:bCs/>
          <w:sz w:val="22"/>
          <w:szCs w:val="22"/>
        </w:rPr>
        <w:t xml:space="preserve">___________________________</w:t>
      </w:r>
      <w:r>
        <w:rPr>
          <w:bCs/>
          <w:sz w:val="22"/>
          <w:szCs w:val="22"/>
        </w:rPr>
        <w:t xml:space="preserve">,</w:t>
      </w:r>
      <w:r>
        <w:rPr>
          <w:bCs/>
          <w:sz w:val="22"/>
          <w:szCs w:val="22"/>
        </w:rPr>
      </w:r>
    </w:p>
    <w:p>
      <w:pPr>
        <w:pBdr/>
        <w:spacing w:line="240" w:lineRule="auto"/>
        <w:ind w:left="3545"/>
        <w:jc w:val="center"/>
        <w:rPr>
          <w:b/>
          <w:bCs/>
          <w:sz w:val="22"/>
          <w:szCs w:val="22"/>
          <w:vertAlign w:val="superscript"/>
        </w:rPr>
      </w:pPr>
      <w:r>
        <w:rPr>
          <w:b/>
          <w:bCs/>
          <w:sz w:val="22"/>
          <w:szCs w:val="22"/>
          <w:vertAlign w:val="superscript"/>
        </w:rPr>
        <w:t xml:space="preserve">(предмет договора)</w:t>
      </w:r>
      <w:r>
        <w:rPr>
          <w:b/>
          <w:bCs/>
          <w:sz w:val="22"/>
          <w:szCs w:val="22"/>
          <w:vertAlign w:val="superscript"/>
        </w:rPr>
      </w:r>
    </w:p>
    <w:p>
      <w:pPr>
        <w:pBdr/>
        <w:spacing w:line="240" w:lineRule="auto"/>
        <w:ind w:firstLine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в соответствии с Техническим заданием и другими документами, являющимися неотъемлемыми приложениями к настоящей заявке на следующих условиях: </w:t>
      </w:r>
      <w:r>
        <w:rPr>
          <w:bCs/>
          <w:sz w:val="22"/>
          <w:szCs w:val="22"/>
        </w:rPr>
      </w:r>
    </w:p>
    <w:p>
      <w:pPr>
        <w:pBdr/>
        <w:spacing w:line="240" w:lineRule="auto"/>
        <w:ind/>
        <w:rPr>
          <w:bCs/>
          <w:sz w:val="22"/>
          <w:szCs w:val="22"/>
        </w:rPr>
      </w:pPr>
      <w:r>
        <w:rPr>
          <w:bCs/>
          <w:sz w:val="22"/>
          <w:szCs w:val="22"/>
        </w:rPr>
      </w:r>
      <w:r>
        <w:rPr>
          <w:bCs/>
          <w:sz w:val="22"/>
          <w:szCs w:val="22"/>
        </w:rPr>
      </w:r>
    </w:p>
    <w:tbl>
      <w:tblPr>
        <w:tblInd w:w="-5" w:type="dxa"/>
        <w:tblW w:w="5000" w:type="pct"/>
        <w:tblBorders/>
        <w:tblLayout w:type="fixed"/>
        <w:tblLook w:val="04A0" w:firstRow="1" w:lastRow="0" w:firstColumn="1" w:lastColumn="0" w:noHBand="0" w:noVBand="1"/>
      </w:tblPr>
      <w:tblGrid>
        <w:gridCol w:w="623"/>
        <w:gridCol w:w="4255"/>
        <w:gridCol w:w="4693"/>
      </w:tblGrid>
      <w:tr>
        <w:trPr>
          <w:cantSplit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keepNext w:val="true"/>
              <w:pBdr/>
              <w:spacing w:line="240" w:lineRule="auto"/>
              <w:ind w:right="-57" w:left="-57"/>
              <w:jc w:val="center"/>
              <w:rPr>
                <w:b/>
                <w:sz w:val="22"/>
                <w:szCs w:val="22"/>
                <w:lang w:eastAsia="ar-SA"/>
              </w:rPr>
            </w:pPr>
            <w:r>
              <w:rPr>
                <w:b/>
                <w:sz w:val="22"/>
                <w:szCs w:val="22"/>
              </w:rPr>
              <w:t xml:space="preserve">№ п./п.</w:t>
            </w:r>
            <w:r>
              <w:rPr>
                <w:b/>
                <w:sz w:val="22"/>
                <w:szCs w:val="22"/>
                <w:lang w:eastAsia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4155" w:type="dxa"/>
            <w:vAlign w:val="center"/>
            <w:textDirection w:val="lrTb"/>
            <w:noWrap w:val="false"/>
          </w:tcPr>
          <w:p>
            <w:pPr>
              <w:keepNext w:val="true"/>
              <w:pBdr/>
              <w:spacing w:line="240" w:lineRule="auto"/>
              <w:ind w:right="-57" w:left="-57"/>
              <w:jc w:val="center"/>
              <w:rPr>
                <w:b/>
                <w:sz w:val="22"/>
                <w:szCs w:val="22"/>
                <w:lang w:eastAsia="ar-SA"/>
              </w:rPr>
            </w:pPr>
            <w:r>
              <w:rPr>
                <w:b/>
                <w:sz w:val="22"/>
                <w:szCs w:val="22"/>
              </w:rPr>
              <w:t xml:space="preserve">Условия заявок </w:t>
            </w:r>
            <w:r>
              <w:rPr>
                <w:b/>
                <w:sz w:val="22"/>
                <w:szCs w:val="22"/>
                <w:lang w:eastAsia="ar-SA"/>
              </w:rPr>
            </w:r>
          </w:p>
          <w:p>
            <w:pPr>
              <w:keepNext w:val="true"/>
              <w:pBdr/>
              <w:spacing w:line="240" w:lineRule="auto"/>
              <w:ind w:right="-57" w:left="-57"/>
              <w:jc w:val="center"/>
              <w:rPr>
                <w:b/>
                <w:sz w:val="22"/>
                <w:szCs w:val="22"/>
                <w:lang w:eastAsia="ar-SA"/>
              </w:rPr>
            </w:pPr>
            <w:r>
              <w:rPr>
                <w:b/>
                <w:sz w:val="22"/>
                <w:szCs w:val="22"/>
              </w:rPr>
              <w:t xml:space="preserve">на участие в запросе котировок (сведения, оглашаемые на процедуре открытия доступа к поданным заявкам)</w:t>
            </w:r>
            <w:r>
              <w:rPr>
                <w:b/>
                <w:sz w:val="22"/>
                <w:szCs w:val="22"/>
                <w:lang w:eastAsia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82" w:type="dxa"/>
            <w:vAlign w:val="center"/>
            <w:textDirection w:val="lrTb"/>
            <w:noWrap w:val="false"/>
          </w:tcPr>
          <w:p>
            <w:pPr>
              <w:keepNext w:val="true"/>
              <w:pBdr/>
              <w:spacing w:line="240" w:lineRule="auto"/>
              <w:ind w:right="57" w:left="57"/>
              <w:jc w:val="center"/>
              <w:rPr>
                <w:b/>
                <w:sz w:val="22"/>
                <w:szCs w:val="22"/>
                <w:lang w:eastAsia="ar-SA"/>
              </w:rPr>
            </w:pPr>
            <w:r>
              <w:rPr>
                <w:b/>
                <w:sz w:val="22"/>
                <w:szCs w:val="22"/>
              </w:rPr>
              <w:t xml:space="preserve">Предложения участника</w:t>
            </w:r>
            <w:r>
              <w:rPr>
                <w:b/>
                <w:sz w:val="22"/>
                <w:szCs w:val="22"/>
                <w:lang w:eastAsia="ar-SA"/>
              </w:rPr>
            </w:r>
          </w:p>
        </w:tc>
      </w:tr>
      <w:tr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608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3"/>
              </w:numPr>
              <w:pBdr/>
              <w:tabs>
                <w:tab w:val="left" w:leader="none" w:pos="284"/>
              </w:tabs>
              <w:spacing w:line="240" w:lineRule="auto"/>
              <w:ind/>
              <w:jc w:val="center"/>
              <w:rPr>
                <w:b/>
                <w:sz w:val="22"/>
                <w:szCs w:val="22"/>
                <w:lang w:eastAsia="ar-SA"/>
              </w:rPr>
            </w:pPr>
            <w:r>
              <w:rPr>
                <w:b/>
                <w:sz w:val="22"/>
                <w:szCs w:val="22"/>
                <w:lang w:eastAsia="ar-SA"/>
              </w:rPr>
            </w:r>
            <w:r>
              <w:rPr>
                <w:b/>
                <w:sz w:val="22"/>
                <w:szCs w:val="22"/>
                <w:lang w:eastAsia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4155" w:type="dxa"/>
            <w:vAlign w:val="center"/>
            <w:textDirection w:val="lrTb"/>
            <w:noWrap w:val="false"/>
          </w:tcPr>
          <w:p>
            <w:pPr>
              <w:pBdr/>
              <w:spacing w:line="240" w:lineRule="auto"/>
              <w:ind w:right="57" w:left="57"/>
              <w:rPr>
                <w:bCs/>
                <w:sz w:val="22"/>
                <w:szCs w:val="22"/>
                <w:lang w:eastAsia="ar-SA"/>
              </w:rPr>
            </w:pPr>
            <w:r>
              <w:rPr>
                <w:bCs/>
                <w:sz w:val="22"/>
                <w:szCs w:val="22"/>
              </w:rPr>
              <w:t xml:space="preserve">Цена заявки, руб. с НДС</w:t>
            </w:r>
            <w:r>
              <w:rPr>
                <w:bCs/>
                <w:sz w:val="22"/>
                <w:szCs w:val="22"/>
                <w:lang w:eastAsia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82" w:type="dxa"/>
            <w:vAlign w:val="center"/>
            <w:textDirection w:val="lrTb"/>
            <w:noWrap w:val="false"/>
          </w:tcPr>
          <w:p>
            <w:pPr>
              <w:pBdr/>
              <w:spacing w:line="240" w:lineRule="auto"/>
              <w:ind w:right="57" w:left="57"/>
              <w:jc w:val="center"/>
              <w:rPr>
                <w:b/>
                <w:sz w:val="22"/>
                <w:szCs w:val="22"/>
                <w:lang w:eastAsia="ar-SA"/>
              </w:rPr>
            </w:pPr>
            <w:r>
              <w:rPr>
                <w:b/>
                <w:sz w:val="22"/>
                <w:szCs w:val="22"/>
              </w:rPr>
              <w:t xml:space="preserve">[указать цену договора с отражением размера НДС]</w:t>
            </w:r>
            <w:r>
              <w:rPr>
                <w:b/>
                <w:sz w:val="22"/>
                <w:szCs w:val="22"/>
                <w:lang w:eastAsia="ar-SA"/>
              </w:rPr>
            </w:r>
          </w:p>
        </w:tc>
      </w:tr>
    </w:tbl>
    <w:p>
      <w:pPr>
        <w:pBdr/>
        <w:spacing w:line="276" w:lineRule="auto"/>
        <w:ind w:firstLine="0"/>
        <w:rPr>
          <w:color w:val="ff0000"/>
          <w:sz w:val="22"/>
          <w:szCs w:val="22"/>
          <w:lang w:eastAsia="en-US"/>
        </w:rPr>
      </w:pPr>
      <w:r>
        <w:rPr>
          <w:color w:val="ff0000"/>
          <w:sz w:val="22"/>
          <w:szCs w:val="22"/>
          <w:highlight w:val="yellow"/>
          <w:lang w:eastAsia="en-US"/>
        </w:rPr>
        <w:t xml:space="preserve">* Ценовое предложение также отдельно должно быть </w:t>
      </w:r>
      <w:r>
        <w:rPr>
          <w:color w:val="ff0000"/>
          <w:sz w:val="22"/>
          <w:szCs w:val="22"/>
          <w:highlight w:val="yellow"/>
          <w:lang w:eastAsia="en-US"/>
        </w:rPr>
        <w:t xml:space="preserve">прикреплено</w:t>
      </w:r>
      <w:r>
        <w:rPr>
          <w:color w:val="ff0000"/>
          <w:sz w:val="22"/>
          <w:szCs w:val="22"/>
          <w:highlight w:val="yellow"/>
          <w:lang w:eastAsia="en-US"/>
        </w:rPr>
        <w:t xml:space="preserve">/указано</w:t>
      </w:r>
      <w:r>
        <w:rPr>
          <w:color w:val="ff0000"/>
          <w:sz w:val="22"/>
          <w:szCs w:val="22"/>
          <w:highlight w:val="yellow"/>
          <w:lang w:eastAsia="en-US"/>
        </w:rPr>
        <w:t xml:space="preserve"> в разделе "Ценовое предложение" с использованием функционала и в соответствующей графе на ЭТП при подаче заявки на участие в закупке.</w:t>
      </w:r>
      <w:r>
        <w:rPr>
          <w:color w:val="ff0000"/>
          <w:sz w:val="22"/>
          <w:szCs w:val="22"/>
          <w:lang w:eastAsia="en-US"/>
        </w:rPr>
      </w:r>
    </w:p>
    <w:p>
      <w:pPr>
        <w:pBdr/>
        <w:spacing w:line="240" w:lineRule="auto"/>
        <w:ind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</w:r>
      <w:r>
        <w:rPr>
          <w:b/>
          <w:sz w:val="22"/>
          <w:szCs w:val="22"/>
          <w:u w:val="single"/>
        </w:rPr>
      </w:r>
    </w:p>
    <w:p>
      <w:pPr>
        <w:pBdr/>
        <w:spacing w:line="240" w:lineRule="auto"/>
        <w:ind/>
        <w:rPr>
          <w:sz w:val="22"/>
          <w:szCs w:val="22"/>
        </w:rPr>
      </w:pPr>
      <w:r>
        <w:rPr>
          <w:b/>
          <w:sz w:val="22"/>
          <w:szCs w:val="22"/>
          <w:u w:val="single"/>
        </w:rPr>
        <w:t xml:space="preserve">Условия оплаты: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Оплата товара производится по безналичному расчету, на расч</w:t>
      </w:r>
      <w:r>
        <w:rPr>
          <w:sz w:val="22"/>
          <w:szCs w:val="22"/>
        </w:rPr>
        <w:t xml:space="preserve">етный счет Продавца в течение 7 (семи</w:t>
      </w:r>
      <w:r>
        <w:rPr>
          <w:sz w:val="22"/>
          <w:szCs w:val="22"/>
        </w:rPr>
        <w:t xml:space="preserve">) рабочих дней</w:t>
      </w:r>
      <w:r>
        <w:t xml:space="preserve"> </w:t>
      </w:r>
      <w:r>
        <w:rPr>
          <w:sz w:val="22"/>
          <w:szCs w:val="22"/>
        </w:rPr>
        <w:t xml:space="preserve">с д</w:t>
      </w:r>
      <w:r>
        <w:rPr>
          <w:sz w:val="22"/>
          <w:szCs w:val="22"/>
        </w:rPr>
        <w:t xml:space="preserve">аты подписания Заказчиком акта </w:t>
      </w:r>
      <w:r>
        <w:rPr>
          <w:sz w:val="22"/>
          <w:szCs w:val="22"/>
        </w:rPr>
        <w:t xml:space="preserve">сдачи-приемки товара по факту поставки </w:t>
      </w:r>
      <w:r>
        <w:rPr>
          <w:color w:val="000000"/>
          <w:sz w:val="22"/>
          <w:szCs w:val="22"/>
        </w:rPr>
        <w:t xml:space="preserve">всего товара в полном объеме</w:t>
      </w:r>
      <w:r>
        <w:rPr>
          <w:color w:val="000000"/>
          <w:sz w:val="22"/>
          <w:szCs w:val="22"/>
        </w:rPr>
        <w:t xml:space="preserve">,</w:t>
      </w:r>
      <w:r>
        <w:rPr>
          <w:color w:val="000000"/>
          <w:sz w:val="22"/>
          <w:szCs w:val="22"/>
        </w:rPr>
        <w:t xml:space="preserve"> предусмотренным спецификацией (п.1.1.</w:t>
      </w:r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Договора)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</w:p>
    <w:p>
      <w:pPr>
        <w:pBdr/>
        <w:spacing w:line="240" w:lineRule="auto"/>
        <w:ind/>
        <w:rPr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 xml:space="preserve">Цена поставляемого товара включает, </w:t>
      </w:r>
      <w:r>
        <w:rPr>
          <w:sz w:val="22"/>
          <w:szCs w:val="22"/>
        </w:rPr>
        <w:t xml:space="preserve">затраты на доставку в ГАУЗ СК </w:t>
      </w:r>
      <w:r>
        <w:rPr>
          <w:sz w:val="22"/>
          <w:szCs w:val="22"/>
        </w:rPr>
        <w:t xml:space="preserve">«Георгиевская стоматологическая поликлиника» по адресу Ставропольский край, г. Георгиевск, ул. Лермонтова, 59, выгрузку на первый этаж (</w:t>
      </w:r>
      <w:r>
        <w:rPr>
          <w:sz w:val="22"/>
          <w:szCs w:val="22"/>
        </w:rPr>
        <w:t xml:space="preserve">каб</w:t>
      </w:r>
      <w:r>
        <w:rPr>
          <w:sz w:val="22"/>
          <w:szCs w:val="22"/>
        </w:rPr>
        <w:t xml:space="preserve">. №24), страхование, уплату налогов, </w:t>
      </w:r>
      <w:r>
        <w:rPr>
          <w:bCs/>
          <w:color w:val="000000"/>
          <w:sz w:val="22"/>
          <w:szCs w:val="22"/>
        </w:rPr>
        <w:t xml:space="preserve">таможенных пошлин</w:t>
      </w:r>
      <w:r>
        <w:rPr>
          <w:sz w:val="22"/>
          <w:szCs w:val="22"/>
        </w:rPr>
        <w:t xml:space="preserve">, сборов</w:t>
      </w:r>
      <w:r>
        <w:rPr>
          <w:sz w:val="22"/>
          <w:szCs w:val="22"/>
        </w:rPr>
        <w:t xml:space="preserve"> и других обязательных платежей,</w:t>
      </w:r>
      <w:r>
        <w:rPr>
          <w:sz w:val="22"/>
          <w:szCs w:val="22"/>
        </w:rPr>
        <w:t xml:space="preserve"> в том числе расходы </w:t>
      </w:r>
      <w:r>
        <w:rPr>
          <w:sz w:val="22"/>
          <w:szCs w:val="22"/>
        </w:rPr>
        <w:t xml:space="preserve">Продавца</w:t>
      </w:r>
      <w:r>
        <w:rPr>
          <w:sz w:val="22"/>
          <w:szCs w:val="22"/>
        </w:rPr>
        <w:t xml:space="preserve"> прямо не предусмотренные, но которые могут возникнуть в ходе исполнения договора.</w:t>
      </w:r>
      <w:r>
        <w:rPr>
          <w:color w:val="000000"/>
          <w:sz w:val="22"/>
          <w:szCs w:val="22"/>
        </w:rPr>
      </w:r>
    </w:p>
    <w:p>
      <w:pPr>
        <w:numPr>
          <w:ilvl w:val="0"/>
          <w:numId w:val="4"/>
        </w:numPr>
        <w:pBdr/>
        <w:spacing w:line="240" w:lineRule="auto"/>
        <w:ind w:firstLine="709"/>
        <w:rPr>
          <w:sz w:val="22"/>
          <w:szCs w:val="22"/>
        </w:rPr>
      </w:pPr>
      <w:r>
        <w:rPr>
          <w:b/>
          <w:sz w:val="22"/>
          <w:szCs w:val="22"/>
        </w:rPr>
        <w:t xml:space="preserve">Для юридических лиц:</w:t>
      </w:r>
      <w:r>
        <w:rPr>
          <w:sz w:val="22"/>
          <w:szCs w:val="22"/>
        </w:rPr>
        <w:t xml:space="preserve"> Настоящим подтверждаем, что:</w:t>
      </w:r>
      <w:r>
        <w:rPr>
          <w:sz w:val="22"/>
          <w:szCs w:val="22"/>
        </w:rPr>
      </w:r>
    </w:p>
    <w:p>
      <w:pPr>
        <w:numPr>
          <w:ilvl w:val="0"/>
          <w:numId w:val="5"/>
        </w:numPr>
        <w:pBdr/>
        <w:tabs>
          <w:tab w:val="left" w:leader="none" w:pos="1134"/>
        </w:tabs>
        <w:spacing w:line="240" w:lineRule="auto"/>
        <w:ind w:firstLine="709" w:left="0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 </w:t>
      </w:r>
      <w:r>
        <w:rPr>
          <w:b/>
          <w:sz w:val="22"/>
          <w:szCs w:val="22"/>
        </w:rPr>
        <w:t xml:space="preserve">(наименование участника запроса котировок)</w:t>
      </w:r>
      <w:r>
        <w:rPr>
          <w:sz w:val="22"/>
          <w:szCs w:val="22"/>
        </w:rPr>
        <w:t xml:space="preserve"> не проводится процедура ликвидации, не принято арбитражным судом решения о признании _______________________ </w:t>
      </w:r>
      <w:r>
        <w:rPr>
          <w:b/>
          <w:sz w:val="22"/>
          <w:szCs w:val="22"/>
        </w:rPr>
        <w:t xml:space="preserve">(наименование участника запроса котировок)</w:t>
      </w:r>
      <w:r>
        <w:rPr>
          <w:sz w:val="22"/>
          <w:szCs w:val="22"/>
        </w:rPr>
        <w:t xml:space="preserve"> банкротом, деятельность ______________________ (</w:t>
      </w:r>
      <w:r>
        <w:rPr>
          <w:b/>
          <w:sz w:val="22"/>
          <w:szCs w:val="22"/>
        </w:rPr>
        <w:t xml:space="preserve">наименование участника запроса котировок</w:t>
      </w:r>
      <w:r>
        <w:rPr>
          <w:sz w:val="22"/>
          <w:szCs w:val="22"/>
        </w:rPr>
        <w:t xml:space="preserve">) не приостановлена, на имущество не наложен арест по решению суда, административного органа;</w:t>
      </w:r>
      <w:r>
        <w:rPr>
          <w:sz w:val="22"/>
          <w:szCs w:val="22"/>
        </w:rPr>
      </w:r>
    </w:p>
    <w:p>
      <w:pPr>
        <w:numPr>
          <w:ilvl w:val="0"/>
          <w:numId w:val="5"/>
        </w:numPr>
        <w:pBdr/>
        <w:tabs>
          <w:tab w:val="left" w:leader="none" w:pos="1134"/>
        </w:tabs>
        <w:spacing w:line="240" w:lineRule="auto"/>
        <w:ind w:firstLine="709" w:left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[участнику запроса котировок необходимо выбрать одно из следующих положений, подходящих для его состояния по задолженности по уплате налогов, сборов, пеней и штрафов:</w:t>
      </w:r>
      <w:r>
        <w:rPr>
          <w:b/>
          <w:sz w:val="22"/>
          <w:szCs w:val="22"/>
        </w:rPr>
      </w:r>
    </w:p>
    <w:p>
      <w:pPr>
        <w:pBdr/>
        <w:tabs>
          <w:tab w:val="left" w:leader="none" w:pos="567"/>
          <w:tab w:val="left" w:leader="none" w:pos="1134"/>
        </w:tabs>
        <w:spacing w:line="240" w:lineRule="auto"/>
        <w:ind w:firstLine="709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задолженность _____________ (наименование участника запроса котировок) по уплате налогов, сборов, пеней и штрафов отсутствует. </w:t>
      </w:r>
      <w:r>
        <w:rPr>
          <w:b/>
          <w:sz w:val="22"/>
          <w:szCs w:val="22"/>
        </w:rPr>
      </w:r>
    </w:p>
    <w:p>
      <w:pPr>
        <w:pBdr/>
        <w:spacing w:line="240" w:lineRule="auto"/>
        <w:ind w:firstLine="709"/>
        <w:rPr>
          <w:sz w:val="22"/>
          <w:szCs w:val="22"/>
        </w:rPr>
      </w:pPr>
      <w:r>
        <w:rPr>
          <w:sz w:val="22"/>
          <w:szCs w:val="22"/>
        </w:rPr>
        <w:t xml:space="preserve">В случае признания нас победителем запроса котировок, либо при поступлении в наш адрес предложения о заключении договора, мы берем на себя следующие обязательства:</w:t>
      </w:r>
      <w:r>
        <w:rPr>
          <w:sz w:val="22"/>
          <w:szCs w:val="22"/>
        </w:rPr>
      </w:r>
    </w:p>
    <w:p>
      <w:pPr>
        <w:numPr>
          <w:ilvl w:val="0"/>
          <w:numId w:val="6"/>
        </w:numPr>
        <w:pBdr/>
        <w:tabs>
          <w:tab w:val="left" w:leader="none" w:pos="1134"/>
        </w:tabs>
        <w:spacing w:line="240" w:lineRule="auto"/>
        <w:ind w:firstLine="709" w:left="0"/>
        <w:rPr>
          <w:sz w:val="22"/>
          <w:szCs w:val="22"/>
        </w:rPr>
      </w:pPr>
      <w:r>
        <w:rPr>
          <w:sz w:val="22"/>
          <w:szCs w:val="22"/>
        </w:rPr>
        <w:t xml:space="preserve">подписать со своей стороны договор в соответствии с требованиями документации запроса котировок и условиями нашей заявки на участие в запросе котировок;</w:t>
      </w:r>
      <w:r>
        <w:rPr>
          <w:sz w:val="22"/>
          <w:szCs w:val="22"/>
        </w:rPr>
      </w:r>
    </w:p>
    <w:p>
      <w:pPr>
        <w:pBdr/>
        <w:spacing w:line="240" w:lineRule="auto"/>
        <w:ind w:firstLine="709"/>
        <w:rPr>
          <w:sz w:val="22"/>
          <w:szCs w:val="22"/>
        </w:rPr>
      </w:pPr>
      <w:r>
        <w:rPr>
          <w:sz w:val="22"/>
          <w:szCs w:val="22"/>
        </w:rPr>
        <w:t xml:space="preserve">Мы уведомлены и согласны с условием, что в</w:t>
      </w:r>
      <w:r>
        <w:rPr>
          <w:sz w:val="22"/>
          <w:szCs w:val="22"/>
        </w:rPr>
        <w:t xml:space="preserve"> случае предоставления нами недостоверных сведений мы можем быть отстранены от участия в запросе котировок, а в случае, если недостоверность предоставленных нами сведений будет выявлена после заключения с нами договора, такой договор может быть расторгнут.</w:t>
      </w:r>
      <w:r>
        <w:rPr>
          <w:sz w:val="22"/>
          <w:szCs w:val="22"/>
        </w:rPr>
      </w:r>
    </w:p>
    <w:p>
      <w:pPr>
        <w:pBdr/>
        <w:spacing w:line="240" w:lineRule="auto"/>
        <w:ind w:firstLine="709"/>
        <w:rPr>
          <w:sz w:val="22"/>
          <w:szCs w:val="22"/>
        </w:rPr>
      </w:pPr>
      <w:r>
        <w:rPr>
          <w:b/>
          <w:sz w:val="22"/>
          <w:szCs w:val="22"/>
        </w:rPr>
        <w:t xml:space="preserve">Мы декларируем</w:t>
      </w:r>
      <w:r>
        <w:rPr>
          <w:sz w:val="22"/>
          <w:szCs w:val="22"/>
        </w:rPr>
        <w:t xml:space="preserve"> о своем соответствии требования, </w:t>
      </w:r>
      <w:r>
        <w:rPr>
          <w:sz w:val="22"/>
          <w:szCs w:val="22"/>
        </w:rPr>
        <w:t xml:space="preserve">указанным</w:t>
      </w:r>
      <w:r>
        <w:rPr>
          <w:sz w:val="22"/>
          <w:szCs w:val="22"/>
        </w:rPr>
        <w:t xml:space="preserve"> в извещении о проведение запроса котировок, а именно:</w:t>
      </w:r>
      <w:r>
        <w:rPr>
          <w:sz w:val="22"/>
          <w:szCs w:val="22"/>
        </w:rPr>
      </w:r>
    </w:p>
    <w:p>
      <w:pPr>
        <w:pStyle w:val="785"/>
        <w:numPr>
          <w:ilvl w:val="0"/>
          <w:numId w:val="10"/>
        </w:numPr>
        <w:pBdr/>
        <w:tabs>
          <w:tab w:val="left" w:leader="none" w:pos="1134"/>
        </w:tabs>
        <w:spacing w:line="240" w:lineRule="auto"/>
        <w:ind w:firstLine="709" w:left="0"/>
        <w:rPr>
          <w:sz w:val="22"/>
          <w:szCs w:val="22"/>
        </w:rPr>
      </w:pPr>
      <w:r>
        <w:rPr>
          <w:sz w:val="22"/>
          <w:szCs w:val="22"/>
        </w:rPr>
        <w:t xml:space="preserve">соответствие участника закупки требованиям, устанавливаемым в соответствии с законодательством Российской Федерации к лицам, осуществляющим поставку товаров, выполнение работ, оказание услуг, являющихся предметом закупки;</w:t>
      </w:r>
      <w:r>
        <w:rPr>
          <w:sz w:val="22"/>
          <w:szCs w:val="22"/>
        </w:rPr>
      </w:r>
    </w:p>
    <w:p>
      <w:pPr>
        <w:pStyle w:val="785"/>
        <w:numPr>
          <w:ilvl w:val="0"/>
          <w:numId w:val="10"/>
        </w:numPr>
        <w:pBdr/>
        <w:tabs>
          <w:tab w:val="left" w:leader="none" w:pos="1134"/>
        </w:tabs>
        <w:spacing w:line="240" w:lineRule="auto"/>
        <w:ind w:firstLine="709" w:left="0"/>
        <w:rPr>
          <w:sz w:val="22"/>
          <w:szCs w:val="22"/>
        </w:rPr>
      </w:pPr>
      <w:r>
        <w:rPr>
          <w:sz w:val="22"/>
          <w:szCs w:val="22"/>
        </w:rPr>
        <w:t xml:space="preserve">быть правомочным заключать договор;</w:t>
      </w:r>
      <w:r>
        <w:rPr>
          <w:sz w:val="22"/>
          <w:szCs w:val="22"/>
        </w:rPr>
      </w:r>
    </w:p>
    <w:p>
      <w:pPr>
        <w:pStyle w:val="785"/>
        <w:numPr>
          <w:ilvl w:val="0"/>
          <w:numId w:val="10"/>
        </w:numPr>
        <w:pBdr/>
        <w:tabs>
          <w:tab w:val="left" w:leader="none" w:pos="1134"/>
        </w:tabs>
        <w:spacing w:line="240" w:lineRule="auto"/>
        <w:ind w:firstLine="709" w:left="0"/>
        <w:rPr>
          <w:sz w:val="22"/>
          <w:szCs w:val="22"/>
        </w:rPr>
      </w:pPr>
      <w:r>
        <w:rPr>
          <w:sz w:val="22"/>
          <w:szCs w:val="22"/>
        </w:rPr>
        <w:t xml:space="preserve">облад</w:t>
      </w:r>
      <w:r>
        <w:rPr>
          <w:sz w:val="22"/>
          <w:szCs w:val="22"/>
        </w:rPr>
        <w:t xml:space="preserve">ать необходимыми лицензиями или свидетельствами о допуске на поставку товаров, производство работ и оказание услуг, подлежащих лицензированию в соответствии с действующим законодательством Российской Федерации, и являющихся предметом заключаемого договора;</w:t>
      </w:r>
      <w:r>
        <w:rPr>
          <w:sz w:val="22"/>
          <w:szCs w:val="22"/>
        </w:rPr>
      </w:r>
    </w:p>
    <w:p>
      <w:pPr>
        <w:pStyle w:val="785"/>
        <w:numPr>
          <w:ilvl w:val="0"/>
          <w:numId w:val="10"/>
        </w:numPr>
        <w:pBdr/>
        <w:tabs>
          <w:tab w:val="left" w:leader="none" w:pos="1134"/>
        </w:tabs>
        <w:spacing w:line="240" w:lineRule="auto"/>
        <w:ind w:firstLine="709" w:left="0"/>
        <w:rPr>
          <w:sz w:val="22"/>
          <w:szCs w:val="22"/>
        </w:rPr>
      </w:pPr>
      <w:r>
        <w:rPr>
          <w:sz w:val="22"/>
          <w:szCs w:val="22"/>
        </w:rPr>
        <w:t xml:space="preserve">не проведение ликвидации участника закупки - юридического лица и отсутствие решения арбитражного суда о признании участника закупки - юридического лица, индивидуального предпринимателя банкротом и об открытии конкурсного производства; </w:t>
      </w:r>
      <w:r>
        <w:rPr>
          <w:sz w:val="22"/>
          <w:szCs w:val="22"/>
        </w:rPr>
        <w:tab/>
      </w:r>
      <w:r>
        <w:rPr>
          <w:sz w:val="22"/>
          <w:szCs w:val="22"/>
        </w:rPr>
      </w:r>
    </w:p>
    <w:p>
      <w:pPr>
        <w:pStyle w:val="785"/>
        <w:numPr>
          <w:ilvl w:val="0"/>
          <w:numId w:val="10"/>
        </w:numPr>
        <w:pBdr/>
        <w:tabs>
          <w:tab w:val="left" w:leader="none" w:pos="1134"/>
        </w:tabs>
        <w:spacing w:line="240" w:lineRule="auto"/>
        <w:ind w:firstLine="709" w:left="0"/>
        <w:rPr>
          <w:sz w:val="22"/>
          <w:szCs w:val="22"/>
        </w:rPr>
      </w:pPr>
      <w:r>
        <w:rPr>
          <w:sz w:val="22"/>
          <w:szCs w:val="22"/>
        </w:rPr>
        <w:t xml:space="preserve">не приостановление деятельности участника закупки в порядке, предусмотренном Кодексом Российской Федерации об административных правонарушениях, на день подачи заявки в целях участия в закупках;</w:t>
      </w:r>
      <w:r>
        <w:rPr>
          <w:sz w:val="22"/>
          <w:szCs w:val="22"/>
        </w:rPr>
      </w:r>
    </w:p>
    <w:p>
      <w:pPr>
        <w:pStyle w:val="785"/>
        <w:numPr>
          <w:ilvl w:val="0"/>
          <w:numId w:val="10"/>
        </w:numPr>
        <w:pBdr/>
        <w:tabs>
          <w:tab w:val="left" w:leader="none" w:pos="1134"/>
        </w:tabs>
        <w:spacing w:line="240" w:lineRule="auto"/>
        <w:ind w:firstLine="709" w:left="0"/>
        <w:rPr>
          <w:sz w:val="22"/>
          <w:szCs w:val="22"/>
        </w:rPr>
      </w:pPr>
      <w:r>
        <w:rPr>
          <w:sz w:val="22"/>
          <w:szCs w:val="22"/>
        </w:rPr>
        <w:t xml:space="preserve">отсутствие у участника закупки задолженности по начисленным налогам, сборам и иным обязательным платежам в бюджеты любого уровня или государственные внебюджетные фонды за прошедш</w:t>
      </w:r>
      <w:r>
        <w:rPr>
          <w:sz w:val="22"/>
          <w:szCs w:val="22"/>
        </w:rPr>
        <w:t xml:space="preserve">ий календарный год; При наличии задолженности участник закупки считается соответствующим установленному требованию в случае, если он обжалует наличие указанной задолженности в соответствии с законодательством Российской Федерации и решение по такой жалобе </w:t>
      </w:r>
      <w:r>
        <w:rPr>
          <w:sz w:val="22"/>
          <w:szCs w:val="22"/>
        </w:rPr>
        <w:t xml:space="preserve">на день рассмотрения заявки на участие в закупке не принято;</w:t>
      </w:r>
      <w:r>
        <w:rPr>
          <w:sz w:val="22"/>
          <w:szCs w:val="22"/>
        </w:rPr>
      </w:r>
    </w:p>
    <w:p>
      <w:pPr>
        <w:pStyle w:val="785"/>
        <w:numPr>
          <w:ilvl w:val="0"/>
          <w:numId w:val="10"/>
        </w:numPr>
        <w:pBdr/>
        <w:tabs>
          <w:tab w:val="left" w:leader="none" w:pos="1134"/>
        </w:tabs>
        <w:spacing w:line="240" w:lineRule="auto"/>
        <w:ind w:firstLine="709" w:left="0"/>
        <w:rPr>
          <w:sz w:val="22"/>
          <w:szCs w:val="22"/>
        </w:rPr>
      </w:pPr>
      <w:r>
        <w:rPr>
          <w:sz w:val="22"/>
          <w:szCs w:val="22"/>
        </w:rPr>
        <w:t xml:space="preserve">отсутствие сведений об</w:t>
      </w:r>
      <w:r>
        <w:rPr>
          <w:sz w:val="22"/>
          <w:szCs w:val="22"/>
        </w:rPr>
        <w:t xml:space="preserve"> участнике закупки в реестре недобросовестных поставщиков, предусмотренном ст. 5 Федерального закона № 223-ФЗ и в реестре недобросовестных поставщиков, предусмотренном Федеральным законом от 6 апреля 2013 года № 44-ФЗ «О контрактной системе в сфере закупок</w:t>
      </w:r>
      <w:r>
        <w:rPr>
          <w:sz w:val="22"/>
          <w:szCs w:val="22"/>
        </w:rPr>
        <w:tab/>
        <w:t xml:space="preserve"> товаров, работ, услуг для обеспечения государственных и му</w:t>
      </w:r>
      <w:r>
        <w:rPr>
          <w:sz w:val="22"/>
          <w:szCs w:val="22"/>
        </w:rPr>
        <w:t xml:space="preserve">ниципальных нужд»</w:t>
      </w:r>
      <w:r>
        <w:rPr>
          <w:sz w:val="22"/>
          <w:szCs w:val="22"/>
        </w:rPr>
        <w:t xml:space="preserve">;</w:t>
      </w:r>
      <w:r>
        <w:rPr>
          <w:sz w:val="22"/>
          <w:szCs w:val="22"/>
        </w:rPr>
      </w:r>
    </w:p>
    <w:p>
      <w:pPr>
        <w:pStyle w:val="785"/>
        <w:numPr>
          <w:ilvl w:val="0"/>
          <w:numId w:val="10"/>
        </w:numPr>
        <w:pBdr/>
        <w:tabs>
          <w:tab w:val="left" w:leader="none" w:pos="1134"/>
        </w:tabs>
        <w:spacing w:line="240" w:lineRule="auto"/>
        <w:ind w:firstLine="709" w:left="0"/>
        <w:rPr>
          <w:sz w:val="22"/>
          <w:szCs w:val="22"/>
        </w:rPr>
      </w:pPr>
      <w:r>
        <w:rPr>
          <w:sz w:val="22"/>
          <w:szCs w:val="22"/>
        </w:rPr>
        <w:t xml:space="preserve">участник закупки не является юридическим или физическим лицом, в отношении которого применяются специальные экономические меры, предусмотренные подпунктом а) пункта 2 Указа</w:t>
      </w:r>
      <w:r>
        <w:rPr>
          <w:sz w:val="22"/>
          <w:szCs w:val="22"/>
        </w:rPr>
        <w:t xml:space="preserve"> Президента РФ от 03.05.2022 г. № 252 «О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организаций», либо являться организацией, находящейся под контролем таких лиц;</w:t>
      </w:r>
      <w:r>
        <w:rPr>
          <w:sz w:val="22"/>
          <w:szCs w:val="22"/>
        </w:rPr>
      </w:r>
    </w:p>
    <w:p>
      <w:pPr>
        <w:pStyle w:val="785"/>
        <w:numPr>
          <w:ilvl w:val="0"/>
          <w:numId w:val="10"/>
        </w:numPr>
        <w:pBdr/>
        <w:tabs>
          <w:tab w:val="left" w:leader="none" w:pos="1134"/>
        </w:tabs>
        <w:spacing w:line="240" w:lineRule="auto"/>
        <w:ind w:firstLine="709" w:left="0"/>
        <w:rPr>
          <w:sz w:val="22"/>
          <w:szCs w:val="22"/>
        </w:rPr>
      </w:pPr>
      <w:r>
        <w:rPr>
          <w:sz w:val="22"/>
          <w:szCs w:val="22"/>
        </w:rPr>
        <w:t xml:space="preserve">участник закупки не является иностранным агентом.</w:t>
      </w:r>
      <w:r>
        <w:rPr>
          <w:sz w:val="22"/>
          <w:szCs w:val="22"/>
        </w:rPr>
      </w:r>
    </w:p>
    <w:p>
      <w:pPr>
        <w:pStyle w:val="785"/>
        <w:pBdr/>
        <w:tabs>
          <w:tab w:val="left" w:leader="none" w:pos="1134"/>
        </w:tabs>
        <w:spacing w:line="240" w:lineRule="auto"/>
        <w:ind w:firstLine="0" w:left="709"/>
        <w:rPr>
          <w:sz w:val="22"/>
          <w:szCs w:val="22"/>
          <w:highlight w:val="cyan"/>
        </w:rPr>
      </w:pPr>
      <w:r>
        <w:rPr>
          <w:sz w:val="22"/>
          <w:szCs w:val="22"/>
          <w:highlight w:val="cyan"/>
        </w:rPr>
      </w:r>
      <w:r>
        <w:rPr>
          <w:sz w:val="22"/>
          <w:szCs w:val="22"/>
          <w:highlight w:val="cyan"/>
        </w:rPr>
      </w:r>
    </w:p>
    <w:p>
      <w:pPr>
        <w:pBdr/>
        <w:spacing w:line="240" w:lineRule="auto"/>
        <w:ind w:firstLine="709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Опись документов заявки на участие в запросе котировок: </w:t>
      </w:r>
      <w:r>
        <w:rPr>
          <w:b/>
          <w:sz w:val="22"/>
          <w:szCs w:val="22"/>
        </w:rPr>
      </w:r>
    </w:p>
    <w:p>
      <w:pPr>
        <w:pBdr/>
        <w:spacing w:line="240" w:lineRule="auto"/>
        <w:ind w:firstLine="709"/>
        <w:rPr>
          <w:b/>
          <w:sz w:val="22"/>
          <w:szCs w:val="22"/>
        </w:rPr>
      </w:pP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tbl>
      <w:tblPr>
        <w:tblInd w:w="-970" w:type="dxa"/>
        <w:tblW w:w="0" w:type="auto"/>
        <w:tblBorders/>
        <w:tblLayout w:type="fixed"/>
        <w:tblLook w:val="04A0" w:firstRow="1" w:lastRow="0" w:firstColumn="1" w:lastColumn="0" w:noHBand="0" w:noVBand="1"/>
      </w:tblPr>
      <w:tblGrid>
        <w:gridCol w:w="898"/>
        <w:gridCol w:w="7000"/>
        <w:gridCol w:w="1365"/>
        <w:gridCol w:w="1187"/>
      </w:tblGrid>
      <w:tr>
        <w:trPr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898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line="240" w:lineRule="auto"/>
              <w:ind w:firstLine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 xml:space="preserve">№</w:t>
            </w:r>
            <w:r>
              <w:rPr>
                <w:sz w:val="22"/>
                <w:szCs w:val="22"/>
                <w:lang w:eastAsia="ar-SA"/>
              </w:rPr>
            </w:r>
          </w:p>
          <w:p>
            <w:pPr>
              <w:widowControl w:val="false"/>
              <w:pBdr/>
              <w:spacing w:line="240" w:lineRule="auto"/>
              <w:ind w:firstLine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 xml:space="preserve">п./п.</w:t>
            </w:r>
            <w:r>
              <w:rPr>
                <w:sz w:val="22"/>
                <w:szCs w:val="22"/>
                <w:lang w:eastAsia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7000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line="240" w:lineRule="auto"/>
              <w:ind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 xml:space="preserve">Наименование документа </w:t>
            </w:r>
            <w:r>
              <w:rPr>
                <w:sz w:val="22"/>
                <w:szCs w:val="22"/>
                <w:lang w:eastAsia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365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line="240" w:lineRule="auto"/>
              <w:ind w:firstLine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 xml:space="preserve">№ </w:t>
            </w:r>
            <w:r>
              <w:rPr>
                <w:sz w:val="22"/>
                <w:szCs w:val="22"/>
                <w:lang w:eastAsia="ar-SA"/>
              </w:rPr>
            </w:r>
          </w:p>
          <w:p>
            <w:pPr>
              <w:widowControl w:val="false"/>
              <w:pBdr/>
              <w:spacing w:line="240" w:lineRule="auto"/>
              <w:ind w:firstLine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 xml:space="preserve">страницы</w:t>
            </w:r>
            <w:r>
              <w:rPr>
                <w:sz w:val="22"/>
                <w:szCs w:val="22"/>
                <w:lang w:eastAsia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87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line="240" w:lineRule="auto"/>
              <w:ind w:firstLine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 xml:space="preserve">Число</w:t>
            </w:r>
            <w:r>
              <w:rPr>
                <w:sz w:val="22"/>
                <w:szCs w:val="22"/>
                <w:lang w:eastAsia="ar-SA"/>
              </w:rPr>
            </w:r>
          </w:p>
          <w:p>
            <w:pPr>
              <w:widowControl w:val="false"/>
              <w:pBdr/>
              <w:spacing w:line="240" w:lineRule="auto"/>
              <w:ind w:firstLine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 xml:space="preserve">страниц</w:t>
            </w:r>
            <w:r>
              <w:rPr>
                <w:sz w:val="22"/>
                <w:szCs w:val="22"/>
                <w:lang w:eastAsia="ar-SA"/>
              </w:rPr>
            </w:r>
          </w:p>
        </w:tc>
      </w:tr>
      <w:tr>
        <w:trPr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898" w:type="dxa"/>
            <w:vAlign w:val="center"/>
            <w:textDirection w:val="lrTb"/>
            <w:noWrap w:val="false"/>
          </w:tcPr>
          <w:p>
            <w:pPr>
              <w:widowControl w:val="false"/>
              <w:numPr>
                <w:ilvl w:val="0"/>
                <w:numId w:val="7"/>
              </w:numPr>
              <w:pBdr/>
              <w:spacing w:line="240" w:lineRule="auto"/>
              <w:ind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</w:r>
            <w:r>
              <w:rPr>
                <w:sz w:val="22"/>
                <w:szCs w:val="22"/>
                <w:lang w:eastAsia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7000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line="240" w:lineRule="auto"/>
              <w:ind w:firstLine="72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 xml:space="preserve">Заявка (форма 1)</w:t>
            </w:r>
            <w:r>
              <w:rPr>
                <w:sz w:val="22"/>
                <w:szCs w:val="22"/>
                <w:lang w:eastAsia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365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line="240" w:lineRule="auto"/>
              <w:ind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</w:r>
            <w:r>
              <w:rPr>
                <w:sz w:val="22"/>
                <w:szCs w:val="22"/>
                <w:lang w:eastAsia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87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line="240" w:lineRule="auto"/>
              <w:ind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</w:r>
            <w:r>
              <w:rPr>
                <w:sz w:val="22"/>
                <w:szCs w:val="22"/>
                <w:lang w:eastAsia="ar-SA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898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7"/>
              </w:numPr>
              <w:pBdr/>
              <w:tabs>
                <w:tab w:val="left" w:leader="none" w:pos="284"/>
              </w:tabs>
              <w:spacing w:after="40" w:before="40" w:line="240" w:lineRule="auto"/>
              <w:ind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</w:r>
            <w:r>
              <w:rPr>
                <w:sz w:val="22"/>
                <w:szCs w:val="22"/>
                <w:lang w:eastAsia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7000" w:type="dxa"/>
            <w:textDirection w:val="lrTb"/>
            <w:noWrap w:val="false"/>
          </w:tcPr>
          <w:p>
            <w:pPr>
              <w:widowControl w:val="false"/>
              <w:pBdr/>
              <w:spacing w:after="40" w:before="40" w:line="240" w:lineRule="auto"/>
              <w:ind w:firstLine="72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 xml:space="preserve">Анкета (форма 2)</w:t>
            </w:r>
            <w:r>
              <w:rPr>
                <w:sz w:val="22"/>
                <w:szCs w:val="22"/>
                <w:lang w:eastAsia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365" w:type="dxa"/>
            <w:textDirection w:val="lrTb"/>
            <w:noWrap w:val="false"/>
          </w:tcPr>
          <w:p>
            <w:pPr>
              <w:widowControl w:val="false"/>
              <w:pBdr/>
              <w:spacing w:line="240" w:lineRule="auto"/>
              <w:ind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</w:r>
            <w:r>
              <w:rPr>
                <w:sz w:val="22"/>
                <w:szCs w:val="22"/>
                <w:lang w:eastAsia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87" w:type="dxa"/>
            <w:textDirection w:val="lrTb"/>
            <w:noWrap w:val="false"/>
          </w:tcPr>
          <w:p>
            <w:pPr>
              <w:widowControl w:val="false"/>
              <w:pBdr/>
              <w:spacing w:line="240" w:lineRule="auto"/>
              <w:ind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</w:r>
            <w:r>
              <w:rPr>
                <w:sz w:val="22"/>
                <w:szCs w:val="22"/>
                <w:lang w:eastAsia="ar-SA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898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7"/>
              </w:numPr>
              <w:pBdr/>
              <w:tabs>
                <w:tab w:val="left" w:leader="none" w:pos="284"/>
              </w:tabs>
              <w:spacing w:after="40" w:before="40" w:line="240" w:lineRule="auto"/>
              <w:ind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</w:r>
            <w:r>
              <w:rPr>
                <w:sz w:val="22"/>
                <w:szCs w:val="22"/>
                <w:lang w:eastAsia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7000" w:type="dxa"/>
            <w:textDirection w:val="lrTb"/>
            <w:noWrap w:val="false"/>
          </w:tcPr>
          <w:p>
            <w:pPr>
              <w:widowControl w:val="false"/>
              <w:pBdr/>
              <w:spacing w:after="40" w:before="40" w:line="240" w:lineRule="auto"/>
              <w:ind w:firstLine="72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en-US" w:bidi="en-US"/>
              </w:rPr>
              <w:t xml:space="preserve">Техническое задание</w:t>
            </w:r>
            <w:r>
              <w:rPr>
                <w:sz w:val="22"/>
                <w:szCs w:val="22"/>
                <w:lang w:eastAsia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365" w:type="dxa"/>
            <w:textDirection w:val="lrTb"/>
            <w:noWrap w:val="false"/>
          </w:tcPr>
          <w:p>
            <w:pPr>
              <w:widowControl w:val="false"/>
              <w:pBdr/>
              <w:spacing w:line="240" w:lineRule="auto"/>
              <w:ind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</w:r>
            <w:r>
              <w:rPr>
                <w:sz w:val="22"/>
                <w:szCs w:val="22"/>
                <w:lang w:eastAsia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87" w:type="dxa"/>
            <w:textDirection w:val="lrTb"/>
            <w:noWrap w:val="false"/>
          </w:tcPr>
          <w:p>
            <w:pPr>
              <w:widowControl w:val="false"/>
              <w:pBdr/>
              <w:spacing w:line="240" w:lineRule="auto"/>
              <w:ind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</w:r>
            <w:r>
              <w:rPr>
                <w:sz w:val="22"/>
                <w:szCs w:val="22"/>
                <w:lang w:eastAsia="ar-SA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898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7"/>
              </w:numPr>
              <w:pBdr/>
              <w:tabs>
                <w:tab w:val="left" w:leader="none" w:pos="284"/>
              </w:tabs>
              <w:spacing w:after="40" w:before="40" w:line="240" w:lineRule="auto"/>
              <w:ind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</w:r>
            <w:r>
              <w:rPr>
                <w:sz w:val="22"/>
                <w:szCs w:val="22"/>
                <w:lang w:eastAsia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7000" w:type="dxa"/>
            <w:textDirection w:val="lrTb"/>
            <w:noWrap w:val="false"/>
          </w:tcPr>
          <w:p>
            <w:pPr>
              <w:widowControl w:val="false"/>
              <w:pBdr/>
              <w:spacing w:after="40" w:before="40" w:line="240" w:lineRule="auto"/>
              <w:ind w:firstLine="72"/>
              <w:rPr>
                <w:b/>
                <w:sz w:val="22"/>
                <w:szCs w:val="22"/>
                <w:lang w:eastAsia="ar-SA"/>
              </w:rPr>
            </w:pPr>
            <w:r>
              <w:rPr>
                <w:b/>
                <w:sz w:val="22"/>
                <w:szCs w:val="22"/>
              </w:rPr>
              <w:t xml:space="preserve">И.Т.Д. (перечислить, все прилагаемые к заявке, документы)</w:t>
            </w:r>
            <w:r>
              <w:rPr>
                <w:b/>
                <w:sz w:val="22"/>
                <w:szCs w:val="22"/>
                <w:lang w:eastAsia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365" w:type="dxa"/>
            <w:textDirection w:val="lrTb"/>
            <w:noWrap w:val="false"/>
          </w:tcPr>
          <w:p>
            <w:pPr>
              <w:widowControl w:val="false"/>
              <w:pBdr/>
              <w:spacing w:line="240" w:lineRule="auto"/>
              <w:ind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</w:r>
            <w:r>
              <w:rPr>
                <w:sz w:val="22"/>
                <w:szCs w:val="22"/>
                <w:lang w:eastAsia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87" w:type="dxa"/>
            <w:textDirection w:val="lrTb"/>
            <w:noWrap w:val="false"/>
          </w:tcPr>
          <w:p>
            <w:pPr>
              <w:widowControl w:val="false"/>
              <w:pBdr/>
              <w:spacing w:line="240" w:lineRule="auto"/>
              <w:ind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</w:r>
            <w:bookmarkEnd w:id="16"/>
            <w:r>
              <w:rPr>
                <w:sz w:val="22"/>
                <w:szCs w:val="22"/>
                <w:lang w:eastAsia="ar-SA"/>
              </w:rPr>
            </w:r>
          </w:p>
        </w:tc>
      </w:tr>
    </w:tbl>
    <w:p>
      <w:pPr>
        <w:pBdr/>
        <w:spacing w:line="240" w:lineRule="auto"/>
        <w:ind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</w:r>
      <w:r>
        <w:rPr>
          <w:sz w:val="22"/>
          <w:szCs w:val="22"/>
          <w:lang w:eastAsia="ar-SA"/>
        </w:rPr>
      </w:r>
    </w:p>
    <w:p>
      <w:pPr>
        <w:pBdr/>
        <w:spacing w:line="240" w:lineRule="auto"/>
        <w:ind/>
        <w:rPr>
          <w:sz w:val="22"/>
          <w:szCs w:val="22"/>
        </w:rPr>
      </w:pPr>
      <w:r>
        <w:rPr>
          <w:sz w:val="22"/>
          <w:szCs w:val="22"/>
        </w:rPr>
        <w:t xml:space="preserve">Руководитель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____________________        _________________________</w:t>
      </w:r>
      <w:r>
        <w:rPr>
          <w:sz w:val="22"/>
          <w:szCs w:val="22"/>
        </w:rPr>
      </w:r>
    </w:p>
    <w:p>
      <w:pPr>
        <w:pBdr/>
        <w:spacing w:line="240" w:lineRule="auto"/>
        <w:ind/>
        <w:rPr>
          <w:sz w:val="22"/>
          <w:szCs w:val="22"/>
        </w:rPr>
      </w:pPr>
      <w:r>
        <w:rPr>
          <w:sz w:val="22"/>
          <w:szCs w:val="22"/>
        </w:rPr>
        <w:t xml:space="preserve">   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(подпись)                   (расшифровка подписи)  </w:t>
      </w:r>
      <w:r>
        <w:rPr>
          <w:sz w:val="22"/>
          <w:szCs w:val="22"/>
        </w:rPr>
      </w:r>
    </w:p>
    <w:p>
      <w:pPr>
        <w:pBdr/>
        <w:spacing w:line="240" w:lineRule="auto"/>
        <w:ind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 w:line="240" w:lineRule="auto"/>
        <w:ind/>
        <w:rPr>
          <w:sz w:val="22"/>
          <w:szCs w:val="22"/>
        </w:rPr>
      </w:pPr>
      <w:r>
        <w:rPr>
          <w:sz w:val="22"/>
          <w:szCs w:val="22"/>
        </w:rPr>
        <w:t xml:space="preserve">М.П.</w:t>
      </w:r>
      <w:r>
        <w:rPr>
          <w:sz w:val="22"/>
          <w:szCs w:val="22"/>
        </w:rPr>
      </w:r>
    </w:p>
    <w:p>
      <w:pPr>
        <w:pBdr/>
        <w:spacing w:line="240" w:lineRule="auto"/>
        <w:ind/>
        <w:jc w:val="right"/>
        <w:rPr>
          <w:rFonts w:eastAsia="Cambria"/>
          <w:sz w:val="22"/>
          <w:szCs w:val="22"/>
        </w:rPr>
      </w:pPr>
      <w:r>
        <w:rPr>
          <w:rFonts w:eastAsia="Cambria"/>
          <w:sz w:val="22"/>
          <w:szCs w:val="22"/>
        </w:rPr>
      </w:r>
      <w:r>
        <w:rPr>
          <w:rFonts w:eastAsia="Cambria"/>
          <w:sz w:val="22"/>
          <w:szCs w:val="22"/>
        </w:rPr>
      </w:r>
    </w:p>
    <w:p>
      <w:pPr>
        <w:pBdr/>
        <w:spacing w:line="240" w:lineRule="auto"/>
        <w:ind/>
        <w:jc w:val="right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ageBreakBefore w:val="true"/>
        <w:pBdr/>
        <w:spacing w:line="240" w:lineRule="auto"/>
        <w:ind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Форма 2</w:t>
      </w:r>
      <w:r>
        <w:rPr>
          <w:b/>
          <w:sz w:val="22"/>
          <w:szCs w:val="22"/>
        </w:rPr>
      </w:r>
    </w:p>
    <w:p>
      <w:pPr>
        <w:pBdr/>
        <w:spacing w:line="240" w:lineRule="auto"/>
        <w:ind/>
        <w:jc w:val="right"/>
        <w:rPr>
          <w:rFonts w:eastAsia="Cambria"/>
          <w:b/>
          <w:sz w:val="22"/>
          <w:szCs w:val="22"/>
        </w:rPr>
      </w:pPr>
      <w:r>
        <w:rPr>
          <w:rFonts w:eastAsia="Cambria"/>
          <w:b/>
          <w:sz w:val="22"/>
          <w:szCs w:val="22"/>
        </w:rPr>
      </w:r>
      <w:r>
        <w:rPr>
          <w:rFonts w:eastAsia="Cambria"/>
          <w:b/>
          <w:sz w:val="22"/>
          <w:szCs w:val="22"/>
        </w:rPr>
      </w:r>
    </w:p>
    <w:p>
      <w:pPr>
        <w:pBdr/>
        <w:spacing w:line="240" w:lineRule="auto"/>
        <w:ind w:firstLine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Фирменный бланк участника запроса котировок                                                 </w:t>
      </w:r>
      <w:r>
        <w:rPr>
          <w:b/>
          <w:sz w:val="22"/>
          <w:szCs w:val="22"/>
        </w:rPr>
      </w:r>
    </w:p>
    <w:p>
      <w:pPr>
        <w:pBdr/>
        <w:spacing w:before="120" w:line="240" w:lineRule="auto"/>
        <w:ind w:firstLine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«___» __________ 20___ года №______</w:t>
      </w:r>
      <w:r>
        <w:rPr>
          <w:bCs/>
          <w:sz w:val="22"/>
          <w:szCs w:val="22"/>
        </w:rPr>
      </w:r>
    </w:p>
    <w:p>
      <w:pPr>
        <w:pBdr/>
        <w:spacing w:before="120" w:line="240" w:lineRule="auto"/>
        <w:ind/>
        <w:rPr>
          <w:bCs/>
          <w:sz w:val="22"/>
          <w:szCs w:val="22"/>
        </w:rPr>
      </w:pPr>
      <w:r>
        <w:rPr>
          <w:bCs/>
          <w:sz w:val="22"/>
          <w:szCs w:val="22"/>
        </w:rPr>
      </w:r>
      <w:r>
        <w:rPr>
          <w:bCs/>
          <w:sz w:val="22"/>
          <w:szCs w:val="22"/>
        </w:rPr>
      </w:r>
    </w:p>
    <w:p>
      <w:pPr>
        <w:pBdr/>
        <w:spacing w:line="240" w:lineRule="auto"/>
        <w:ind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Запрос котировок на право заключения договора</w:t>
      </w:r>
      <w:r>
        <w:rPr>
          <w:b/>
          <w:sz w:val="22"/>
          <w:szCs w:val="22"/>
        </w:rPr>
      </w:r>
    </w:p>
    <w:p>
      <w:pPr>
        <w:pBdr/>
        <w:spacing w:line="240" w:lineRule="auto"/>
        <w:ind/>
        <w:jc w:val="center"/>
        <w:rPr>
          <w:b/>
          <w:sz w:val="22"/>
          <w:szCs w:val="22"/>
        </w:rPr>
      </w:pPr>
      <w:r>
        <w:rPr>
          <w:b/>
          <w:iCs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на ______________________</w:t>
      </w:r>
      <w:r>
        <w:rPr>
          <w:b/>
          <w:sz w:val="22"/>
          <w:szCs w:val="22"/>
        </w:rPr>
      </w:r>
    </w:p>
    <w:p>
      <w:pPr>
        <w:pBdr/>
        <w:spacing w:line="240" w:lineRule="auto"/>
        <w:ind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keepNext w:val="true"/>
        <w:pBdr/>
        <w:spacing w:line="240" w:lineRule="auto"/>
        <w:ind/>
        <w:jc w:val="center"/>
        <w:rPr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Анкета участника запроса котировок </w:t>
      </w:r>
      <w:r>
        <w:rPr>
          <w:iCs/>
          <w:sz w:val="22"/>
          <w:szCs w:val="22"/>
        </w:rPr>
        <w:t xml:space="preserve"> </w:t>
      </w:r>
      <w:r>
        <w:rPr>
          <w:iCs/>
          <w:sz w:val="22"/>
          <w:szCs w:val="22"/>
        </w:rPr>
      </w:r>
    </w:p>
    <w:p>
      <w:pPr>
        <w:pBdr/>
        <w:spacing w:after="120" w:before="120" w:line="240" w:lineRule="auto"/>
        <w:ind w:firstLine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Участник запроса котировок: ________________________________ </w:t>
      </w:r>
      <w:r>
        <w:rPr>
          <w:b/>
          <w:bCs/>
          <w:sz w:val="22"/>
          <w:szCs w:val="22"/>
        </w:rPr>
      </w:r>
    </w:p>
    <w:p>
      <w:pPr>
        <w:pBdr/>
        <w:spacing w:after="120" w:before="120" w:line="240" w:lineRule="auto"/>
        <w:ind w:firstLine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Таблица 1. Сведения об участнике запроса котировок</w:t>
      </w:r>
      <w:r>
        <w:rPr>
          <w:b/>
          <w:bCs/>
          <w:sz w:val="22"/>
          <w:szCs w:val="22"/>
        </w:rPr>
      </w:r>
    </w:p>
    <w:tbl>
      <w:tblPr>
        <w:tblInd w:w="-318" w:type="dxa"/>
        <w:tblW w:w="10177" w:type="dxa"/>
        <w:tblBorders/>
        <w:tblLayout w:type="fixed"/>
        <w:tblLook w:val="04A0" w:firstRow="1" w:lastRow="0" w:firstColumn="1" w:lastColumn="0" w:noHBand="0" w:noVBand="1"/>
      </w:tblPr>
      <w:tblGrid>
        <w:gridCol w:w="710"/>
        <w:gridCol w:w="6944"/>
        <w:gridCol w:w="2523"/>
      </w:tblGrid>
      <w:tr>
        <w:trPr>
          <w:cantSplit/>
          <w:trHeight w:val="240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710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/>
              <w:ind w:firstLine="34"/>
              <w:jc w:val="center"/>
              <w:rPr>
                <w:rFonts w:eastAsia="Cambria"/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 xml:space="preserve">№</w:t>
            </w:r>
            <w:r>
              <w:rPr>
                <w:rFonts w:eastAsia="Cambria"/>
                <w:sz w:val="22"/>
                <w:szCs w:val="22"/>
                <w:lang w:eastAsia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6944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rFonts w:eastAsia="Cambria"/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 xml:space="preserve">Наименование</w:t>
            </w:r>
            <w:r>
              <w:rPr>
                <w:rFonts w:eastAsia="Cambria"/>
                <w:sz w:val="22"/>
                <w:szCs w:val="22"/>
                <w:lang w:eastAsia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23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/>
              <w:ind w:firstLine="0"/>
              <w:rPr>
                <w:rFonts w:eastAsia="Cambria"/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 xml:space="preserve">Сведения об участнике </w:t>
            </w:r>
            <w:r>
              <w:rPr>
                <w:rFonts w:eastAsia="Cambria"/>
                <w:sz w:val="22"/>
                <w:szCs w:val="22"/>
                <w:lang w:eastAsia="ar-SA"/>
              </w:rPr>
            </w:r>
          </w:p>
        </w:tc>
      </w:tr>
      <w:tr>
        <w:trPr>
          <w:cantSplit/>
          <w:trHeight w:val="47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710" w:type="dxa"/>
            <w:vAlign w:val="center"/>
            <w:textDirection w:val="lrTb"/>
            <w:noWrap w:val="false"/>
          </w:tcPr>
          <w:p>
            <w:pPr>
              <w:widowControl w:val="false"/>
              <w:numPr>
                <w:ilvl w:val="0"/>
                <w:numId w:val="8"/>
              </w:numPr>
              <w:pBdr/>
              <w:spacing w:line="240" w:lineRule="auto"/>
              <w:ind w:right="-113" w:firstLine="0" w:left="0"/>
              <w:jc w:val="center"/>
              <w:rPr>
                <w:rFonts w:eastAsia="Cambria"/>
                <w:sz w:val="22"/>
                <w:szCs w:val="22"/>
                <w:lang w:eastAsia="ar-SA"/>
              </w:rPr>
            </w:pPr>
            <w:r>
              <w:rPr>
                <w:rFonts w:eastAsia="Cambria"/>
                <w:sz w:val="22"/>
                <w:szCs w:val="22"/>
                <w:lang w:eastAsia="ar-SA"/>
              </w:rPr>
            </w:r>
            <w:r>
              <w:rPr>
                <w:rFonts w:eastAsia="Cambria"/>
                <w:sz w:val="22"/>
                <w:szCs w:val="22"/>
                <w:lang w:eastAsia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6944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line="240" w:lineRule="auto"/>
              <w:ind w:right="-108" w:firstLine="0" w:left="-108"/>
              <w:rPr>
                <w:rFonts w:eastAsia="Cambria"/>
                <w:sz w:val="20"/>
                <w:lang w:eastAsia="ar-SA"/>
              </w:rPr>
            </w:pPr>
            <w:r>
              <w:rPr>
                <w:sz w:val="20"/>
              </w:rPr>
              <w:t xml:space="preserve">Фирменное наименование (Полное и сокращенное наименования организации либо Ф.И.О. участника </w:t>
            </w:r>
            <w:r>
              <w:rPr>
                <w:bCs/>
                <w:sz w:val="20"/>
              </w:rPr>
              <w:t xml:space="preserve">запроса котировок </w:t>
            </w:r>
            <w:r>
              <w:rPr>
                <w:b/>
                <w:bCs/>
                <w:sz w:val="20"/>
              </w:rPr>
              <w:t xml:space="preserve">–</w:t>
            </w:r>
            <w:r>
              <w:rPr>
                <w:sz w:val="20"/>
              </w:rPr>
              <w:t xml:space="preserve"> физического лица, в том числе, зарегистрированного в качестве индивидуального предпринимателя)</w:t>
            </w:r>
            <w:r>
              <w:rPr>
                <w:rFonts w:eastAsia="Cambria"/>
                <w:sz w:val="20"/>
                <w:lang w:eastAsia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23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/>
              <w:ind w:right="57" w:left="57"/>
              <w:jc w:val="center"/>
              <w:rPr>
                <w:rFonts w:eastAsia="Cambria"/>
                <w:sz w:val="22"/>
                <w:szCs w:val="22"/>
                <w:lang w:eastAsia="ar-SA"/>
              </w:rPr>
            </w:pPr>
            <w:r>
              <w:rPr>
                <w:rFonts w:eastAsia="Cambria"/>
                <w:sz w:val="22"/>
                <w:szCs w:val="22"/>
                <w:lang w:eastAsia="ar-SA"/>
              </w:rPr>
            </w:r>
            <w:r>
              <w:rPr>
                <w:rFonts w:eastAsia="Cambria"/>
                <w:sz w:val="22"/>
                <w:szCs w:val="22"/>
                <w:lang w:eastAsia="ar-SA"/>
              </w:rPr>
            </w:r>
          </w:p>
        </w:tc>
      </w:tr>
      <w:tr>
        <w:trPr>
          <w:cantSplit/>
          <w:trHeight w:val="28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710" w:type="dxa"/>
            <w:vAlign w:val="center"/>
            <w:textDirection w:val="lrTb"/>
            <w:noWrap w:val="false"/>
          </w:tcPr>
          <w:p>
            <w:pPr>
              <w:widowControl w:val="false"/>
              <w:numPr>
                <w:ilvl w:val="0"/>
                <w:numId w:val="8"/>
              </w:numPr>
              <w:pBdr/>
              <w:spacing w:line="240" w:lineRule="auto"/>
              <w:ind w:right="-113" w:firstLine="0" w:left="0"/>
              <w:jc w:val="center"/>
              <w:rPr>
                <w:rFonts w:eastAsia="Cambria"/>
                <w:sz w:val="22"/>
                <w:szCs w:val="22"/>
                <w:lang w:eastAsia="ar-SA"/>
              </w:rPr>
            </w:pPr>
            <w:r>
              <w:rPr>
                <w:rFonts w:eastAsia="Cambria"/>
                <w:sz w:val="22"/>
                <w:szCs w:val="22"/>
                <w:lang w:eastAsia="ar-SA"/>
              </w:rPr>
            </w:r>
            <w:r>
              <w:rPr>
                <w:rFonts w:eastAsia="Cambria"/>
                <w:sz w:val="22"/>
                <w:szCs w:val="22"/>
                <w:lang w:eastAsia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6944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line="240" w:lineRule="auto"/>
              <w:ind w:right="-108" w:firstLine="0" w:left="-108"/>
              <w:rPr>
                <w:rFonts w:eastAsia="Cambria"/>
                <w:sz w:val="20"/>
                <w:lang w:eastAsia="ar-SA"/>
              </w:rPr>
            </w:pPr>
            <w:r>
              <w:rPr>
                <w:sz w:val="20"/>
              </w:rPr>
              <w:t xml:space="preserve">Организационно - правовая форма</w:t>
            </w:r>
            <w:r>
              <w:rPr>
                <w:rFonts w:eastAsia="Cambria"/>
                <w:sz w:val="20"/>
                <w:lang w:eastAsia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23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/>
              <w:ind w:right="57" w:left="57"/>
              <w:jc w:val="center"/>
              <w:rPr>
                <w:rFonts w:eastAsia="Cambria"/>
                <w:sz w:val="22"/>
                <w:szCs w:val="22"/>
                <w:lang w:eastAsia="ar-SA"/>
              </w:rPr>
            </w:pPr>
            <w:r>
              <w:rPr>
                <w:rFonts w:eastAsia="Cambria"/>
                <w:sz w:val="22"/>
                <w:szCs w:val="22"/>
                <w:lang w:eastAsia="ar-SA"/>
              </w:rPr>
            </w:r>
            <w:r>
              <w:rPr>
                <w:rFonts w:eastAsia="Cambria"/>
                <w:sz w:val="22"/>
                <w:szCs w:val="22"/>
                <w:lang w:eastAsia="ar-SA"/>
              </w:rPr>
            </w:r>
          </w:p>
        </w:tc>
      </w:tr>
      <w:tr>
        <w:trPr>
          <w:cantSplit/>
          <w:trHeight w:val="28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710" w:type="dxa"/>
            <w:vAlign w:val="center"/>
            <w:textDirection w:val="lrTb"/>
            <w:noWrap w:val="false"/>
          </w:tcPr>
          <w:p>
            <w:pPr>
              <w:widowControl w:val="false"/>
              <w:numPr>
                <w:ilvl w:val="0"/>
                <w:numId w:val="8"/>
              </w:numPr>
              <w:pBdr/>
              <w:spacing w:line="240" w:lineRule="auto"/>
              <w:ind w:right="-113" w:firstLine="0" w:left="0"/>
              <w:jc w:val="center"/>
              <w:rPr>
                <w:rFonts w:eastAsia="Cambria"/>
                <w:sz w:val="22"/>
                <w:szCs w:val="22"/>
                <w:lang w:eastAsia="ar-SA"/>
              </w:rPr>
            </w:pPr>
            <w:r>
              <w:rPr>
                <w:rFonts w:eastAsia="Cambria"/>
                <w:sz w:val="22"/>
                <w:szCs w:val="22"/>
                <w:lang w:eastAsia="ar-SA"/>
              </w:rPr>
            </w:r>
            <w:r>
              <w:rPr>
                <w:rFonts w:eastAsia="Cambria"/>
                <w:sz w:val="22"/>
                <w:szCs w:val="22"/>
                <w:lang w:eastAsia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6944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line="240" w:lineRule="auto"/>
              <w:ind w:right="-108" w:firstLine="0" w:left="-108"/>
              <w:rPr>
                <w:rFonts w:eastAsia="Cambria"/>
                <w:sz w:val="20"/>
                <w:lang w:eastAsia="ar-SA"/>
              </w:rPr>
            </w:pPr>
            <w:r>
              <w:rPr>
                <w:sz w:val="20"/>
              </w:rPr>
              <w:t xml:space="preserve">Принадлежность к субъектам малого и среднего предпринимательства</w:t>
            </w:r>
            <w:r>
              <w:rPr>
                <w:rFonts w:eastAsia="Cambria"/>
                <w:sz w:val="20"/>
                <w:lang w:eastAsia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23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/>
              <w:ind w:right="57" w:left="57"/>
              <w:jc w:val="center"/>
              <w:rPr>
                <w:rFonts w:eastAsia="Cambria"/>
                <w:sz w:val="22"/>
                <w:szCs w:val="22"/>
                <w:lang w:eastAsia="ar-SA"/>
              </w:rPr>
            </w:pPr>
            <w:r>
              <w:rPr>
                <w:rFonts w:eastAsia="Cambria"/>
                <w:sz w:val="22"/>
                <w:szCs w:val="22"/>
                <w:lang w:eastAsia="ar-SA"/>
              </w:rPr>
            </w:r>
            <w:r>
              <w:rPr>
                <w:rFonts w:eastAsia="Cambria"/>
                <w:sz w:val="22"/>
                <w:szCs w:val="22"/>
                <w:lang w:eastAsia="ar-SA"/>
              </w:rPr>
            </w:r>
          </w:p>
        </w:tc>
      </w:tr>
      <w:tr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710" w:type="dxa"/>
            <w:vAlign w:val="center"/>
            <w:textDirection w:val="lrTb"/>
            <w:noWrap w:val="false"/>
          </w:tcPr>
          <w:p>
            <w:pPr>
              <w:widowControl w:val="false"/>
              <w:numPr>
                <w:ilvl w:val="0"/>
                <w:numId w:val="8"/>
              </w:numPr>
              <w:pBdr/>
              <w:spacing w:line="240" w:lineRule="auto"/>
              <w:ind w:right="-113" w:firstLine="0" w:left="0"/>
              <w:jc w:val="center"/>
              <w:rPr>
                <w:rFonts w:eastAsia="Cambria"/>
                <w:sz w:val="22"/>
                <w:szCs w:val="22"/>
                <w:lang w:eastAsia="ar-SA"/>
              </w:rPr>
            </w:pPr>
            <w:r>
              <w:rPr>
                <w:rFonts w:eastAsia="Cambria"/>
                <w:sz w:val="22"/>
                <w:szCs w:val="22"/>
                <w:lang w:eastAsia="ar-SA"/>
              </w:rPr>
            </w:r>
            <w:r>
              <w:rPr>
                <w:rFonts w:eastAsia="Cambria"/>
                <w:sz w:val="22"/>
                <w:szCs w:val="22"/>
                <w:lang w:eastAsia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6944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line="240" w:lineRule="auto"/>
              <w:ind w:right="-108" w:firstLine="0" w:left="-108"/>
              <w:rPr>
                <w:rFonts w:eastAsia="Cambria"/>
                <w:sz w:val="20"/>
                <w:lang w:eastAsia="ar-SA"/>
              </w:rPr>
            </w:pPr>
            <w:r>
              <w:rPr>
                <w:sz w:val="20"/>
              </w:rPr>
              <w:t xml:space="preserve">Учредители (перечислить наименования и организационно-правовую форму или Ф.И.О. всех учредителей)</w:t>
            </w:r>
            <w:r>
              <w:rPr>
                <w:rFonts w:eastAsia="Cambria"/>
                <w:sz w:val="20"/>
                <w:lang w:eastAsia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23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/>
              <w:ind w:right="57" w:left="57"/>
              <w:jc w:val="center"/>
              <w:rPr>
                <w:rFonts w:eastAsia="Cambria"/>
                <w:sz w:val="22"/>
                <w:szCs w:val="22"/>
                <w:lang w:eastAsia="ar-SA"/>
              </w:rPr>
            </w:pPr>
            <w:r>
              <w:rPr>
                <w:rFonts w:eastAsia="Cambria"/>
                <w:sz w:val="22"/>
                <w:szCs w:val="22"/>
                <w:lang w:eastAsia="ar-SA"/>
              </w:rPr>
            </w:r>
            <w:r>
              <w:rPr>
                <w:rFonts w:eastAsia="Cambria"/>
                <w:sz w:val="22"/>
                <w:szCs w:val="22"/>
                <w:lang w:eastAsia="ar-SA"/>
              </w:rPr>
            </w:r>
          </w:p>
        </w:tc>
      </w:tr>
      <w:tr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710" w:type="dxa"/>
            <w:vAlign w:val="center"/>
            <w:textDirection w:val="lrTb"/>
            <w:noWrap w:val="false"/>
          </w:tcPr>
          <w:p>
            <w:pPr>
              <w:widowControl w:val="false"/>
              <w:numPr>
                <w:ilvl w:val="0"/>
                <w:numId w:val="8"/>
              </w:numPr>
              <w:pBdr/>
              <w:spacing w:line="240" w:lineRule="auto"/>
              <w:ind w:right="-113" w:firstLine="0" w:left="0"/>
              <w:jc w:val="center"/>
              <w:rPr>
                <w:rFonts w:eastAsia="Cambria"/>
                <w:sz w:val="22"/>
                <w:szCs w:val="22"/>
                <w:lang w:eastAsia="ar-SA"/>
              </w:rPr>
            </w:pPr>
            <w:r>
              <w:rPr>
                <w:rFonts w:eastAsia="Cambria"/>
                <w:sz w:val="22"/>
                <w:szCs w:val="22"/>
                <w:lang w:eastAsia="ar-SA"/>
              </w:rPr>
            </w:r>
            <w:r>
              <w:rPr>
                <w:rFonts w:eastAsia="Cambria"/>
                <w:sz w:val="22"/>
                <w:szCs w:val="22"/>
                <w:lang w:eastAsia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6944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line="240" w:lineRule="auto"/>
              <w:ind w:right="-108" w:firstLine="0" w:left="-108"/>
              <w:rPr>
                <w:rFonts w:eastAsia="Cambria"/>
                <w:i/>
                <w:sz w:val="20"/>
                <w:lang w:eastAsia="ar-SA"/>
              </w:rPr>
            </w:pPr>
            <w:r>
              <w:rPr>
                <w:sz w:val="20"/>
              </w:rPr>
              <w:t xml:space="preserve">Свидетельство о внесении в Единый государственный реестр юридических лиц/индивидуального предпринимателя (дата и номер, кем выдано) </w:t>
            </w:r>
            <w:r>
              <w:rPr>
                <w:i/>
                <w:sz w:val="20"/>
              </w:rPr>
              <w:t xml:space="preserve">либо паспортные данные для участника закупки – физического лица</w:t>
            </w:r>
            <w:r>
              <w:rPr>
                <w:rFonts w:eastAsia="Cambria"/>
                <w:i/>
                <w:sz w:val="20"/>
                <w:lang w:eastAsia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23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/>
              <w:ind w:right="57" w:left="57"/>
              <w:jc w:val="center"/>
              <w:rPr>
                <w:rFonts w:eastAsia="Cambria"/>
                <w:sz w:val="22"/>
                <w:szCs w:val="22"/>
                <w:lang w:eastAsia="ar-SA"/>
              </w:rPr>
            </w:pPr>
            <w:r>
              <w:rPr>
                <w:rFonts w:eastAsia="Cambria"/>
                <w:sz w:val="22"/>
                <w:szCs w:val="22"/>
                <w:lang w:eastAsia="ar-SA"/>
              </w:rPr>
            </w:r>
            <w:r>
              <w:rPr>
                <w:rFonts w:eastAsia="Cambria"/>
                <w:sz w:val="22"/>
                <w:szCs w:val="22"/>
                <w:lang w:eastAsia="ar-SA"/>
              </w:rPr>
            </w:r>
          </w:p>
        </w:tc>
      </w:tr>
      <w:tr>
        <w:trPr>
          <w:cantSplit/>
          <w:trHeight w:val="28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710" w:type="dxa"/>
            <w:vAlign w:val="center"/>
            <w:textDirection w:val="lrTb"/>
            <w:noWrap w:val="false"/>
          </w:tcPr>
          <w:p>
            <w:pPr>
              <w:widowControl w:val="false"/>
              <w:numPr>
                <w:ilvl w:val="0"/>
                <w:numId w:val="8"/>
              </w:numPr>
              <w:pBdr/>
              <w:spacing w:line="240" w:lineRule="auto"/>
              <w:ind w:right="-113" w:firstLine="0" w:left="0"/>
              <w:jc w:val="center"/>
              <w:rPr>
                <w:rFonts w:eastAsia="Cambria"/>
                <w:sz w:val="22"/>
                <w:szCs w:val="22"/>
                <w:lang w:eastAsia="ar-SA"/>
              </w:rPr>
            </w:pPr>
            <w:r>
              <w:rPr>
                <w:rFonts w:eastAsia="Cambria"/>
                <w:sz w:val="22"/>
                <w:szCs w:val="22"/>
                <w:lang w:eastAsia="ar-SA"/>
              </w:rPr>
            </w:r>
            <w:r>
              <w:rPr>
                <w:rFonts w:eastAsia="Cambria"/>
                <w:sz w:val="22"/>
                <w:szCs w:val="22"/>
                <w:lang w:eastAsia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6944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line="240" w:lineRule="auto"/>
              <w:ind w:right="-108" w:firstLine="0" w:left="-108"/>
              <w:rPr>
                <w:rFonts w:eastAsia="Cambria"/>
                <w:sz w:val="20"/>
                <w:lang w:eastAsia="ar-SA"/>
              </w:rPr>
            </w:pPr>
            <w:r>
              <w:rPr>
                <w:sz w:val="20"/>
              </w:rPr>
              <w:t xml:space="preserve">Виды деятельности</w:t>
            </w:r>
            <w:r>
              <w:rPr>
                <w:rFonts w:eastAsia="Cambria"/>
                <w:sz w:val="20"/>
                <w:lang w:eastAsia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23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/>
              <w:ind w:right="57" w:left="57"/>
              <w:jc w:val="center"/>
              <w:rPr>
                <w:rFonts w:eastAsia="Cambria"/>
                <w:sz w:val="22"/>
                <w:szCs w:val="22"/>
                <w:lang w:eastAsia="ar-SA"/>
              </w:rPr>
            </w:pPr>
            <w:r>
              <w:rPr>
                <w:rFonts w:eastAsia="Cambria"/>
                <w:sz w:val="22"/>
                <w:szCs w:val="22"/>
                <w:lang w:eastAsia="ar-SA"/>
              </w:rPr>
            </w:r>
            <w:r>
              <w:rPr>
                <w:rFonts w:eastAsia="Cambria"/>
                <w:sz w:val="22"/>
                <w:szCs w:val="22"/>
                <w:lang w:eastAsia="ar-SA"/>
              </w:rPr>
            </w:r>
          </w:p>
        </w:tc>
      </w:tr>
      <w:tr>
        <w:trPr>
          <w:cantSplit/>
          <w:trHeight w:val="28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710" w:type="dxa"/>
            <w:vAlign w:val="center"/>
            <w:textDirection w:val="lrTb"/>
            <w:noWrap w:val="false"/>
          </w:tcPr>
          <w:p>
            <w:pPr>
              <w:widowControl w:val="false"/>
              <w:numPr>
                <w:ilvl w:val="0"/>
                <w:numId w:val="8"/>
              </w:numPr>
              <w:pBdr/>
              <w:spacing w:line="240" w:lineRule="auto"/>
              <w:ind w:right="-113" w:firstLine="0" w:left="0"/>
              <w:jc w:val="center"/>
              <w:rPr>
                <w:rFonts w:eastAsia="Cambria"/>
                <w:sz w:val="22"/>
                <w:szCs w:val="22"/>
                <w:lang w:eastAsia="ar-SA"/>
              </w:rPr>
            </w:pPr>
            <w:r>
              <w:rPr>
                <w:rFonts w:eastAsia="Cambria"/>
                <w:sz w:val="22"/>
                <w:szCs w:val="22"/>
                <w:lang w:eastAsia="ar-SA"/>
              </w:rPr>
            </w:r>
            <w:r>
              <w:rPr>
                <w:rFonts w:eastAsia="Cambria"/>
                <w:sz w:val="22"/>
                <w:szCs w:val="22"/>
                <w:lang w:eastAsia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6944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line="240" w:lineRule="auto"/>
              <w:ind w:right="-108" w:firstLine="0" w:left="-108"/>
              <w:rPr>
                <w:rFonts w:eastAsia="Cambria"/>
                <w:sz w:val="20"/>
                <w:lang w:eastAsia="ar-SA"/>
              </w:rPr>
            </w:pPr>
            <w:r>
              <w:rPr>
                <w:sz w:val="20"/>
              </w:rPr>
              <w:t xml:space="preserve">ИНН, КПП, ОГРН, ОКПО</w:t>
            </w:r>
            <w:r>
              <w:rPr>
                <w:rFonts w:eastAsia="Cambria"/>
                <w:sz w:val="20"/>
                <w:lang w:eastAsia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23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/>
              <w:ind w:right="57" w:left="57"/>
              <w:jc w:val="center"/>
              <w:rPr>
                <w:rFonts w:eastAsia="Cambria"/>
                <w:sz w:val="22"/>
                <w:szCs w:val="22"/>
                <w:lang w:eastAsia="ar-SA"/>
              </w:rPr>
            </w:pPr>
            <w:r>
              <w:rPr>
                <w:rFonts w:eastAsia="Cambria"/>
                <w:sz w:val="22"/>
                <w:szCs w:val="22"/>
                <w:lang w:eastAsia="ar-SA"/>
              </w:rPr>
            </w:r>
            <w:r>
              <w:rPr>
                <w:rFonts w:eastAsia="Cambria"/>
                <w:sz w:val="22"/>
                <w:szCs w:val="22"/>
                <w:lang w:eastAsia="ar-SA"/>
              </w:rPr>
            </w:r>
          </w:p>
        </w:tc>
      </w:tr>
      <w:tr>
        <w:trPr>
          <w:cantSplit/>
          <w:trHeight w:val="28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710" w:type="dxa"/>
            <w:vAlign w:val="center"/>
            <w:textDirection w:val="lrTb"/>
            <w:noWrap w:val="false"/>
          </w:tcPr>
          <w:p>
            <w:pPr>
              <w:widowControl w:val="false"/>
              <w:numPr>
                <w:ilvl w:val="0"/>
                <w:numId w:val="8"/>
              </w:numPr>
              <w:pBdr/>
              <w:spacing w:line="240" w:lineRule="auto"/>
              <w:ind w:right="-113" w:firstLine="0" w:left="0"/>
              <w:jc w:val="center"/>
              <w:rPr>
                <w:rFonts w:eastAsia="Cambria"/>
                <w:sz w:val="22"/>
                <w:szCs w:val="22"/>
                <w:lang w:eastAsia="ar-SA"/>
              </w:rPr>
            </w:pPr>
            <w:r>
              <w:rPr>
                <w:rFonts w:eastAsia="Cambria"/>
                <w:sz w:val="22"/>
                <w:szCs w:val="22"/>
                <w:lang w:eastAsia="ar-SA"/>
              </w:rPr>
            </w:r>
            <w:r>
              <w:rPr>
                <w:rFonts w:eastAsia="Cambria"/>
                <w:sz w:val="22"/>
                <w:szCs w:val="22"/>
                <w:lang w:eastAsia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6944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line="240" w:lineRule="auto"/>
              <w:ind w:right="-108" w:firstLine="0" w:left="-108"/>
              <w:rPr>
                <w:rFonts w:eastAsia="Cambria"/>
                <w:sz w:val="20"/>
                <w:lang w:eastAsia="ar-SA"/>
              </w:rPr>
            </w:pPr>
            <w:r>
              <w:rPr>
                <w:sz w:val="20"/>
              </w:rPr>
              <w:t xml:space="preserve">Юридический адрес (страна, адрес)</w:t>
            </w:r>
            <w:r>
              <w:rPr>
                <w:rFonts w:eastAsia="Cambria"/>
                <w:sz w:val="20"/>
                <w:lang w:eastAsia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23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/>
              <w:ind w:right="57" w:left="57"/>
              <w:jc w:val="center"/>
              <w:rPr>
                <w:rFonts w:eastAsia="Cambria"/>
                <w:sz w:val="22"/>
                <w:szCs w:val="22"/>
                <w:lang w:eastAsia="ar-SA"/>
              </w:rPr>
            </w:pPr>
            <w:r>
              <w:rPr>
                <w:rFonts w:eastAsia="Cambria"/>
                <w:sz w:val="22"/>
                <w:szCs w:val="22"/>
                <w:lang w:eastAsia="ar-SA"/>
              </w:rPr>
            </w:r>
            <w:r>
              <w:rPr>
                <w:rFonts w:eastAsia="Cambria"/>
                <w:sz w:val="22"/>
                <w:szCs w:val="22"/>
                <w:lang w:eastAsia="ar-SA"/>
              </w:rPr>
            </w:r>
          </w:p>
        </w:tc>
      </w:tr>
      <w:tr>
        <w:trPr>
          <w:cantSplit/>
          <w:trHeight w:val="28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710" w:type="dxa"/>
            <w:vAlign w:val="center"/>
            <w:textDirection w:val="lrTb"/>
            <w:noWrap w:val="false"/>
          </w:tcPr>
          <w:p>
            <w:pPr>
              <w:widowControl w:val="false"/>
              <w:numPr>
                <w:ilvl w:val="0"/>
                <w:numId w:val="8"/>
              </w:numPr>
              <w:pBdr/>
              <w:spacing w:line="240" w:lineRule="auto"/>
              <w:ind w:right="-113" w:firstLine="0" w:left="0"/>
              <w:jc w:val="center"/>
              <w:rPr>
                <w:rFonts w:eastAsia="Cambria"/>
                <w:sz w:val="22"/>
                <w:szCs w:val="22"/>
                <w:lang w:eastAsia="ar-SA"/>
              </w:rPr>
            </w:pPr>
            <w:r>
              <w:rPr>
                <w:rFonts w:eastAsia="Cambria"/>
                <w:sz w:val="22"/>
                <w:szCs w:val="22"/>
                <w:lang w:eastAsia="ar-SA"/>
              </w:rPr>
            </w:r>
            <w:r>
              <w:rPr>
                <w:rFonts w:eastAsia="Cambria"/>
                <w:sz w:val="22"/>
                <w:szCs w:val="22"/>
                <w:lang w:eastAsia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6944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line="240" w:lineRule="auto"/>
              <w:ind w:right="-108" w:firstLine="0" w:left="-108"/>
              <w:rPr>
                <w:rFonts w:eastAsia="Cambria"/>
                <w:sz w:val="20"/>
                <w:lang w:eastAsia="ar-SA"/>
              </w:rPr>
            </w:pPr>
            <w:r>
              <w:rPr>
                <w:sz w:val="20"/>
              </w:rPr>
              <w:t xml:space="preserve">Почтовый адрес (страна, адрес)</w:t>
            </w:r>
            <w:r>
              <w:rPr>
                <w:rFonts w:eastAsia="Cambria"/>
                <w:sz w:val="20"/>
                <w:lang w:eastAsia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23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rFonts w:eastAsia="Cambria"/>
                <w:sz w:val="22"/>
                <w:szCs w:val="22"/>
                <w:lang w:eastAsia="ar-SA"/>
              </w:rPr>
            </w:pPr>
            <w:r>
              <w:rPr>
                <w:rFonts w:eastAsia="Cambria"/>
                <w:sz w:val="22"/>
                <w:szCs w:val="22"/>
                <w:lang w:eastAsia="ar-SA"/>
              </w:rPr>
            </w:r>
            <w:r>
              <w:rPr>
                <w:rFonts w:eastAsia="Cambria"/>
                <w:sz w:val="22"/>
                <w:szCs w:val="22"/>
                <w:lang w:eastAsia="ar-SA"/>
              </w:rPr>
            </w:r>
          </w:p>
        </w:tc>
      </w:tr>
      <w:tr>
        <w:trPr>
          <w:cantSplit/>
          <w:trHeight w:val="28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710" w:type="dxa"/>
            <w:vAlign w:val="center"/>
            <w:textDirection w:val="lrTb"/>
            <w:noWrap w:val="false"/>
          </w:tcPr>
          <w:p>
            <w:pPr>
              <w:widowControl w:val="false"/>
              <w:numPr>
                <w:ilvl w:val="0"/>
                <w:numId w:val="8"/>
              </w:numPr>
              <w:pBdr/>
              <w:spacing w:line="240" w:lineRule="auto"/>
              <w:ind w:right="-113" w:firstLine="0" w:left="0"/>
              <w:jc w:val="center"/>
              <w:rPr>
                <w:rFonts w:eastAsia="Cambria"/>
                <w:sz w:val="22"/>
                <w:szCs w:val="22"/>
                <w:lang w:eastAsia="ar-SA"/>
              </w:rPr>
            </w:pPr>
            <w:r>
              <w:rPr>
                <w:rFonts w:eastAsia="Cambria"/>
                <w:sz w:val="22"/>
                <w:szCs w:val="22"/>
                <w:lang w:eastAsia="ar-SA"/>
              </w:rPr>
            </w:r>
            <w:r>
              <w:rPr>
                <w:rFonts w:eastAsia="Cambria"/>
                <w:sz w:val="22"/>
                <w:szCs w:val="22"/>
                <w:lang w:eastAsia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6944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line="240" w:lineRule="auto"/>
              <w:ind w:right="-108" w:firstLine="0" w:left="-108"/>
              <w:rPr>
                <w:rFonts w:eastAsia="Cambria"/>
                <w:sz w:val="20"/>
                <w:lang w:eastAsia="ar-SA"/>
              </w:rPr>
            </w:pPr>
            <w:r>
              <w:rPr>
                <w:sz w:val="20"/>
              </w:rPr>
              <w:t xml:space="preserve">Фактическое местоположение</w:t>
            </w:r>
            <w:r>
              <w:rPr>
                <w:rFonts w:eastAsia="Cambria"/>
                <w:sz w:val="20"/>
                <w:lang w:eastAsia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23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rFonts w:eastAsia="Cambria"/>
                <w:sz w:val="22"/>
                <w:szCs w:val="22"/>
                <w:lang w:eastAsia="ar-SA"/>
              </w:rPr>
            </w:pPr>
            <w:r>
              <w:rPr>
                <w:rFonts w:eastAsia="Cambria"/>
                <w:sz w:val="22"/>
                <w:szCs w:val="22"/>
                <w:lang w:eastAsia="ar-SA"/>
              </w:rPr>
            </w:r>
            <w:r>
              <w:rPr>
                <w:rFonts w:eastAsia="Cambria"/>
                <w:sz w:val="22"/>
                <w:szCs w:val="22"/>
                <w:lang w:eastAsia="ar-SA"/>
              </w:rPr>
            </w:r>
          </w:p>
        </w:tc>
      </w:tr>
      <w:tr>
        <w:trPr>
          <w:cantSplit/>
          <w:trHeight w:val="28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710" w:type="dxa"/>
            <w:vAlign w:val="center"/>
            <w:textDirection w:val="lrTb"/>
            <w:noWrap w:val="false"/>
          </w:tcPr>
          <w:p>
            <w:pPr>
              <w:widowControl w:val="false"/>
              <w:numPr>
                <w:ilvl w:val="0"/>
                <w:numId w:val="8"/>
              </w:numPr>
              <w:pBdr/>
              <w:spacing w:line="240" w:lineRule="auto"/>
              <w:ind w:right="-113" w:firstLine="0" w:left="0"/>
              <w:jc w:val="center"/>
              <w:rPr>
                <w:rFonts w:eastAsia="Cambria"/>
                <w:sz w:val="22"/>
                <w:szCs w:val="22"/>
                <w:lang w:eastAsia="ar-SA"/>
              </w:rPr>
            </w:pPr>
            <w:r>
              <w:rPr>
                <w:rFonts w:eastAsia="Cambria"/>
                <w:sz w:val="22"/>
                <w:szCs w:val="22"/>
                <w:lang w:eastAsia="ar-SA"/>
              </w:rPr>
            </w:r>
            <w:r>
              <w:rPr>
                <w:rFonts w:eastAsia="Cambria"/>
                <w:sz w:val="22"/>
                <w:szCs w:val="22"/>
                <w:lang w:eastAsia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6944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line="240" w:lineRule="auto"/>
              <w:ind w:right="-108" w:firstLine="0" w:left="-108"/>
              <w:rPr>
                <w:rFonts w:eastAsia="Cambria"/>
                <w:sz w:val="20"/>
                <w:lang w:eastAsia="ar-SA"/>
              </w:rPr>
            </w:pPr>
            <w:r>
              <w:rPr>
                <w:sz w:val="20"/>
              </w:rPr>
              <w:t xml:space="preserve">Телефоны (с указанием кода города)</w:t>
            </w:r>
            <w:r>
              <w:rPr>
                <w:rFonts w:eastAsia="Cambria"/>
                <w:sz w:val="20"/>
                <w:lang w:eastAsia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23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rFonts w:eastAsia="Cambria"/>
                <w:sz w:val="22"/>
                <w:szCs w:val="22"/>
                <w:lang w:eastAsia="ar-SA"/>
              </w:rPr>
            </w:pPr>
            <w:r>
              <w:rPr>
                <w:rFonts w:eastAsia="Cambria"/>
                <w:sz w:val="22"/>
                <w:szCs w:val="22"/>
                <w:lang w:eastAsia="ar-SA"/>
              </w:rPr>
            </w:r>
            <w:r>
              <w:rPr>
                <w:rFonts w:eastAsia="Cambria"/>
                <w:sz w:val="22"/>
                <w:szCs w:val="22"/>
                <w:lang w:eastAsia="ar-SA"/>
              </w:rPr>
            </w:r>
          </w:p>
        </w:tc>
      </w:tr>
      <w:tr>
        <w:trPr>
          <w:cantSplit/>
          <w:trHeight w:val="28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710" w:type="dxa"/>
            <w:vAlign w:val="center"/>
            <w:textDirection w:val="lrTb"/>
            <w:noWrap w:val="false"/>
          </w:tcPr>
          <w:p>
            <w:pPr>
              <w:widowControl w:val="false"/>
              <w:numPr>
                <w:ilvl w:val="0"/>
                <w:numId w:val="8"/>
              </w:numPr>
              <w:pBdr/>
              <w:spacing w:line="240" w:lineRule="auto"/>
              <w:ind w:right="-113" w:firstLine="0" w:left="0"/>
              <w:jc w:val="center"/>
              <w:rPr>
                <w:rFonts w:eastAsia="Cambria"/>
                <w:sz w:val="22"/>
                <w:szCs w:val="22"/>
                <w:lang w:eastAsia="ar-SA"/>
              </w:rPr>
            </w:pPr>
            <w:r>
              <w:rPr>
                <w:rFonts w:eastAsia="Cambria"/>
                <w:sz w:val="22"/>
                <w:szCs w:val="22"/>
                <w:lang w:eastAsia="ar-SA"/>
              </w:rPr>
            </w:r>
            <w:r>
              <w:rPr>
                <w:rFonts w:eastAsia="Cambria"/>
                <w:sz w:val="22"/>
                <w:szCs w:val="22"/>
                <w:lang w:eastAsia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6944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line="240" w:lineRule="auto"/>
              <w:ind w:right="-108" w:firstLine="0" w:left="-108"/>
              <w:rPr>
                <w:rFonts w:eastAsia="Cambria"/>
                <w:sz w:val="20"/>
                <w:lang w:eastAsia="ar-SA"/>
              </w:rPr>
            </w:pPr>
            <w:r>
              <w:rPr>
                <w:sz w:val="20"/>
              </w:rPr>
              <w:t xml:space="preserve">Факс (с указанием кода города)</w:t>
            </w:r>
            <w:r>
              <w:rPr>
                <w:rFonts w:eastAsia="Cambria"/>
                <w:sz w:val="20"/>
                <w:lang w:eastAsia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23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rFonts w:eastAsia="Cambria"/>
                <w:sz w:val="22"/>
                <w:szCs w:val="22"/>
                <w:lang w:eastAsia="ar-SA"/>
              </w:rPr>
            </w:pPr>
            <w:r>
              <w:rPr>
                <w:rFonts w:eastAsia="Cambria"/>
                <w:sz w:val="22"/>
                <w:szCs w:val="22"/>
                <w:lang w:eastAsia="ar-SA"/>
              </w:rPr>
            </w:r>
            <w:r>
              <w:rPr>
                <w:rFonts w:eastAsia="Cambria"/>
                <w:sz w:val="22"/>
                <w:szCs w:val="22"/>
                <w:lang w:eastAsia="ar-SA"/>
              </w:rPr>
            </w:r>
          </w:p>
        </w:tc>
      </w:tr>
      <w:tr>
        <w:trPr>
          <w:cantSplit/>
          <w:trHeight w:val="28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710" w:type="dxa"/>
            <w:vAlign w:val="center"/>
            <w:textDirection w:val="lrTb"/>
            <w:noWrap w:val="false"/>
          </w:tcPr>
          <w:p>
            <w:pPr>
              <w:widowControl w:val="false"/>
              <w:numPr>
                <w:ilvl w:val="0"/>
                <w:numId w:val="8"/>
              </w:numPr>
              <w:pBdr/>
              <w:spacing w:line="240" w:lineRule="auto"/>
              <w:ind w:right="-113" w:firstLine="0" w:left="0"/>
              <w:jc w:val="center"/>
              <w:rPr>
                <w:rFonts w:eastAsia="Cambria"/>
                <w:sz w:val="22"/>
                <w:szCs w:val="22"/>
                <w:lang w:eastAsia="ar-SA"/>
              </w:rPr>
            </w:pPr>
            <w:r>
              <w:rPr>
                <w:rFonts w:eastAsia="Cambria"/>
                <w:sz w:val="22"/>
                <w:szCs w:val="22"/>
                <w:lang w:eastAsia="ar-SA"/>
              </w:rPr>
            </w:r>
            <w:r>
              <w:rPr>
                <w:rFonts w:eastAsia="Cambria"/>
                <w:sz w:val="22"/>
                <w:szCs w:val="22"/>
                <w:lang w:eastAsia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6944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line="240" w:lineRule="auto"/>
              <w:ind w:right="-108" w:firstLine="0" w:left="-108"/>
              <w:rPr>
                <w:rFonts w:eastAsia="Cambria"/>
                <w:sz w:val="20"/>
                <w:lang w:eastAsia="ar-SA"/>
              </w:rPr>
            </w:pPr>
            <w:r>
              <w:rPr>
                <w:sz w:val="20"/>
              </w:rPr>
              <w:t xml:space="preserve">Адрес электронной почты </w:t>
            </w:r>
            <w:r>
              <w:rPr>
                <w:rFonts w:eastAsia="Cambria"/>
                <w:sz w:val="20"/>
                <w:lang w:eastAsia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23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rFonts w:eastAsia="Cambria"/>
                <w:sz w:val="22"/>
                <w:szCs w:val="22"/>
                <w:lang w:eastAsia="ar-SA"/>
              </w:rPr>
            </w:pPr>
            <w:r>
              <w:rPr>
                <w:rFonts w:eastAsia="Cambria"/>
                <w:sz w:val="22"/>
                <w:szCs w:val="22"/>
                <w:lang w:eastAsia="ar-SA"/>
              </w:rPr>
            </w:r>
            <w:r>
              <w:rPr>
                <w:rFonts w:eastAsia="Cambria"/>
                <w:sz w:val="22"/>
                <w:szCs w:val="22"/>
                <w:lang w:eastAsia="ar-SA"/>
              </w:rPr>
            </w:r>
          </w:p>
        </w:tc>
      </w:tr>
      <w:tr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710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/>
              <w:ind w:right="-113"/>
              <w:jc w:val="center"/>
              <w:rPr>
                <w:rFonts w:eastAsia="Cambria"/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  <w:t xml:space="preserve">4.</w:t>
            </w:r>
            <w:r>
              <w:rPr>
                <w:rFonts w:eastAsia="Cambria"/>
                <w:sz w:val="22"/>
                <w:szCs w:val="22"/>
                <w:lang w:eastAsia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6944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line="240" w:lineRule="auto"/>
              <w:ind w:right="-108" w:firstLine="0" w:left="-108"/>
              <w:rPr>
                <w:rFonts w:eastAsia="Cambria"/>
                <w:sz w:val="20"/>
                <w:lang w:eastAsia="ar-SA"/>
              </w:rPr>
            </w:pPr>
            <w:r>
              <w:rPr>
                <w:sz w:val="20"/>
              </w:rPr>
              <w:t xml:space="preserve">Фамилия, Имя и Отчество руководителя участника, имеющего право подписи согласно учредительным документам, с указанием должности и контактного телефона</w:t>
            </w:r>
            <w:r>
              <w:rPr>
                <w:rFonts w:eastAsia="Cambria"/>
                <w:sz w:val="20"/>
                <w:lang w:eastAsia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23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rFonts w:eastAsia="Cambria"/>
                <w:sz w:val="22"/>
                <w:szCs w:val="22"/>
                <w:lang w:eastAsia="ar-SA"/>
              </w:rPr>
            </w:pPr>
            <w:r>
              <w:rPr>
                <w:rFonts w:eastAsia="Cambria"/>
                <w:sz w:val="22"/>
                <w:szCs w:val="22"/>
                <w:lang w:eastAsia="ar-SA"/>
              </w:rPr>
            </w:r>
            <w:r>
              <w:rPr>
                <w:rFonts w:eastAsia="Cambria"/>
                <w:sz w:val="22"/>
                <w:szCs w:val="22"/>
                <w:lang w:eastAsia="ar-SA"/>
              </w:rPr>
            </w:r>
          </w:p>
        </w:tc>
      </w:tr>
      <w:tr>
        <w:trPr>
          <w:cantSplit/>
          <w:trHeight w:val="5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710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/>
              <w:ind w:right="-113"/>
              <w:jc w:val="center"/>
              <w:rPr>
                <w:rFonts w:eastAsia="Cambria"/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  <w:t xml:space="preserve">5.</w:t>
            </w:r>
            <w:r>
              <w:rPr>
                <w:rFonts w:eastAsia="Cambria"/>
                <w:sz w:val="22"/>
                <w:szCs w:val="22"/>
                <w:lang w:eastAsia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6944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line="240" w:lineRule="auto"/>
              <w:ind w:right="-108" w:firstLine="0"/>
              <w:rPr>
                <w:rFonts w:eastAsia="Cambria"/>
                <w:sz w:val="20"/>
                <w:lang w:eastAsia="ar-SA"/>
              </w:rPr>
            </w:pPr>
            <w:r>
              <w:rPr>
                <w:sz w:val="20"/>
              </w:rPr>
              <w:t xml:space="preserve">Фамилия, Имя и Отчество уполномоченного лица участника</w:t>
            </w:r>
            <w:r>
              <w:rPr>
                <w:b/>
                <w:bCs/>
                <w:i/>
                <w:sz w:val="20"/>
              </w:rPr>
              <w:t xml:space="preserve"> </w:t>
            </w:r>
            <w:r>
              <w:rPr>
                <w:sz w:val="20"/>
              </w:rPr>
              <w:t xml:space="preserve">с указанием должности, контактного телефона, </w:t>
            </w:r>
            <w:r>
              <w:rPr>
                <w:sz w:val="20"/>
              </w:rPr>
              <w:t xml:space="preserve">эл</w:t>
            </w:r>
            <w:r>
              <w:rPr>
                <w:sz w:val="20"/>
              </w:rPr>
              <w:t xml:space="preserve">. почты</w:t>
            </w:r>
            <w:r>
              <w:rPr>
                <w:rFonts w:eastAsia="Cambria"/>
                <w:sz w:val="20"/>
                <w:lang w:eastAsia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23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rFonts w:eastAsia="Cambria"/>
                <w:sz w:val="22"/>
                <w:szCs w:val="22"/>
                <w:lang w:eastAsia="ar-SA"/>
              </w:rPr>
            </w:pPr>
            <w:r>
              <w:rPr>
                <w:rFonts w:eastAsia="Cambria"/>
                <w:sz w:val="22"/>
                <w:szCs w:val="22"/>
                <w:lang w:eastAsia="ar-SA"/>
              </w:rPr>
            </w:r>
            <w:r>
              <w:rPr>
                <w:rFonts w:eastAsia="Cambria"/>
                <w:sz w:val="22"/>
                <w:szCs w:val="22"/>
                <w:lang w:eastAsia="ar-SA"/>
              </w:rPr>
            </w:r>
          </w:p>
        </w:tc>
      </w:tr>
    </w:tbl>
    <w:p>
      <w:pPr>
        <w:pBdr/>
        <w:spacing w:line="240" w:lineRule="auto"/>
        <w:ind w:firstLine="0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 w:line="240" w:lineRule="auto"/>
        <w:ind w:firstLine="709"/>
        <w:rPr>
          <w:sz w:val="22"/>
          <w:szCs w:val="22"/>
        </w:rPr>
      </w:pPr>
      <w:r>
        <w:rPr>
          <w:sz w:val="22"/>
          <w:szCs w:val="22"/>
        </w:rPr>
        <w:t xml:space="preserve">В подтверждение вышеприведенных данных к анкете прикладываются следующие документы:</w:t>
      </w:r>
      <w:r>
        <w:rPr>
          <w:sz w:val="22"/>
          <w:szCs w:val="22"/>
        </w:rPr>
      </w:r>
    </w:p>
    <w:p>
      <w:pPr>
        <w:numPr>
          <w:ilvl w:val="0"/>
          <w:numId w:val="9"/>
        </w:numPr>
        <w:pBdr/>
        <w:tabs>
          <w:tab w:val="left" w:leader="none" w:pos="400"/>
        </w:tabs>
        <w:spacing w:line="240" w:lineRule="auto"/>
        <w:ind w:firstLine="0" w:left="0"/>
        <w:rPr>
          <w:sz w:val="22"/>
          <w:szCs w:val="22"/>
        </w:rPr>
      </w:pPr>
      <w:r>
        <w:rPr>
          <w:sz w:val="22"/>
          <w:szCs w:val="22"/>
        </w:rPr>
        <w:t xml:space="preserve">___________ (название документа) ____ (количество листов в документе)</w:t>
      </w:r>
      <w:r>
        <w:rPr>
          <w:sz w:val="22"/>
          <w:szCs w:val="22"/>
        </w:rPr>
      </w:r>
    </w:p>
    <w:p>
      <w:pPr>
        <w:numPr>
          <w:ilvl w:val="0"/>
          <w:numId w:val="9"/>
        </w:numPr>
        <w:pBdr/>
        <w:tabs>
          <w:tab w:val="left" w:leader="none" w:pos="400"/>
        </w:tabs>
        <w:spacing w:line="240" w:lineRule="auto"/>
        <w:ind w:firstLine="0" w:left="0"/>
        <w:rPr>
          <w:sz w:val="22"/>
          <w:szCs w:val="22"/>
        </w:rPr>
      </w:pPr>
      <w:r>
        <w:rPr>
          <w:sz w:val="22"/>
          <w:szCs w:val="22"/>
        </w:rPr>
        <w:t xml:space="preserve">___________ (название документа) ____ (количество листов в документе);</w:t>
      </w:r>
      <w:r>
        <w:rPr>
          <w:sz w:val="22"/>
          <w:szCs w:val="22"/>
        </w:rPr>
      </w:r>
    </w:p>
    <w:p>
      <w:pPr>
        <w:pBdr/>
        <w:spacing w:line="240" w:lineRule="auto"/>
        <w:ind w:firstLine="0"/>
        <w:rPr>
          <w:sz w:val="22"/>
          <w:szCs w:val="22"/>
        </w:rPr>
      </w:pPr>
      <w:r>
        <w:rPr>
          <w:sz w:val="22"/>
          <w:szCs w:val="22"/>
        </w:rPr>
        <w:t xml:space="preserve">3. ___________ (название документа) ____ (количество листов в документе</w:t>
      </w:r>
      <w:r>
        <w:rPr>
          <w:sz w:val="22"/>
          <w:szCs w:val="22"/>
        </w:rPr>
      </w:r>
    </w:p>
    <w:p>
      <w:pPr>
        <w:pBdr/>
        <w:spacing w:line="240" w:lineRule="auto"/>
        <w:ind w:firstLine="851"/>
        <w:rPr>
          <w:sz w:val="22"/>
          <w:szCs w:val="22"/>
        </w:rPr>
      </w:pPr>
      <w:r>
        <w:rPr>
          <w:sz w:val="22"/>
          <w:szCs w:val="22"/>
        </w:rPr>
        <w:t xml:space="preserve">Мы, нижеподписавшиеся, заверяем правильность всех данных, указанных в анкете.</w:t>
      </w:r>
      <w:r>
        <w:rPr>
          <w:sz w:val="22"/>
          <w:szCs w:val="22"/>
        </w:rPr>
      </w:r>
    </w:p>
    <w:p>
      <w:pPr>
        <w:pBdr/>
        <w:spacing w:line="240" w:lineRule="auto"/>
        <w:ind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 w:line="240" w:lineRule="auto"/>
        <w:ind/>
        <w:rPr>
          <w:sz w:val="22"/>
          <w:szCs w:val="22"/>
        </w:rPr>
      </w:pPr>
      <w:r>
        <w:rPr>
          <w:sz w:val="22"/>
          <w:szCs w:val="22"/>
        </w:rPr>
        <w:t xml:space="preserve">Руководитель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________________        ______________________</w:t>
      </w:r>
      <w:r>
        <w:rPr>
          <w:sz w:val="22"/>
          <w:szCs w:val="22"/>
        </w:rPr>
      </w:r>
    </w:p>
    <w:p>
      <w:pPr>
        <w:pBdr/>
        <w:spacing w:line="240" w:lineRule="auto"/>
        <w:ind/>
        <w:rPr>
          <w:sz w:val="22"/>
          <w:szCs w:val="22"/>
        </w:rPr>
      </w:pPr>
      <w:r>
        <w:rPr>
          <w:sz w:val="22"/>
          <w:szCs w:val="22"/>
        </w:rPr>
        <w:t xml:space="preserve">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(подпись)                             (расшифровка подписи)  </w:t>
      </w:r>
      <w:r>
        <w:rPr>
          <w:sz w:val="22"/>
          <w:szCs w:val="22"/>
        </w:rPr>
      </w:r>
    </w:p>
    <w:p>
      <w:pPr>
        <w:pBdr/>
        <w:spacing w:line="240" w:lineRule="auto"/>
        <w:ind/>
        <w:rPr>
          <w:sz w:val="22"/>
          <w:szCs w:val="22"/>
        </w:rPr>
      </w:pPr>
      <w:r>
        <w:rPr>
          <w:sz w:val="22"/>
          <w:szCs w:val="22"/>
        </w:rPr>
        <w:t xml:space="preserve">М.П.</w:t>
      </w:r>
      <w:r>
        <w:rPr>
          <w:sz w:val="22"/>
          <w:szCs w:val="22"/>
        </w:rPr>
      </w:r>
    </w:p>
    <w:p>
      <w:pPr>
        <w:pBdr/>
        <w:spacing w:line="240" w:lineRule="auto"/>
        <w:ind w:firstLine="0"/>
        <w:rPr>
          <w:szCs w:val="28"/>
        </w:rPr>
      </w:pPr>
      <w:r>
        <w:rPr>
          <w:szCs w:val="28"/>
        </w:rPr>
      </w:r>
      <w:r>
        <w:rPr>
          <w:szCs w:val="28"/>
        </w:rPr>
      </w:r>
    </w:p>
    <w:p>
      <w:pPr>
        <w:pBdr/>
        <w:spacing w:line="240" w:lineRule="auto"/>
        <w:ind/>
        <w:jc w:val="right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 w:line="240" w:lineRule="auto"/>
        <w:ind/>
        <w:jc w:val="right"/>
        <w:rPr>
          <w:iCs/>
          <w:sz w:val="22"/>
          <w:szCs w:val="22"/>
        </w:rPr>
      </w:pPr>
      <w:r>
        <w:rPr>
          <w:sz w:val="22"/>
          <w:szCs w:val="22"/>
        </w:rPr>
        <w:t xml:space="preserve">Приложение к </w:t>
      </w:r>
      <w:r>
        <w:rPr>
          <w:iCs/>
          <w:sz w:val="22"/>
          <w:szCs w:val="22"/>
        </w:rPr>
        <w:t xml:space="preserve">заявке на участие в запросе котировок </w:t>
      </w:r>
      <w:r>
        <w:rPr>
          <w:iCs/>
          <w:sz w:val="22"/>
          <w:szCs w:val="22"/>
        </w:rPr>
      </w:r>
    </w:p>
    <w:p>
      <w:pPr>
        <w:pBdr/>
        <w:spacing w:line="240" w:lineRule="auto"/>
        <w:ind/>
        <w:jc w:val="right"/>
        <w:rPr>
          <w:rFonts w:eastAsia="Cambria"/>
          <w:sz w:val="22"/>
          <w:szCs w:val="22"/>
        </w:rPr>
      </w:pPr>
      <w:r>
        <w:rPr>
          <w:sz w:val="22"/>
          <w:szCs w:val="22"/>
        </w:rPr>
        <w:t xml:space="preserve">от «____» _____________ </w:t>
      </w:r>
      <w:r>
        <w:rPr>
          <w:sz w:val="22"/>
          <w:szCs w:val="22"/>
        </w:rPr>
        <w:t xml:space="preserve">г</w:t>
      </w:r>
      <w:r>
        <w:rPr>
          <w:sz w:val="22"/>
          <w:szCs w:val="22"/>
        </w:rPr>
        <w:t xml:space="preserve">. №__________ </w:t>
      </w:r>
      <w:r>
        <w:rPr>
          <w:rFonts w:eastAsia="Cambria"/>
          <w:sz w:val="22"/>
          <w:szCs w:val="22"/>
        </w:rPr>
      </w:r>
    </w:p>
    <w:p>
      <w:pPr>
        <w:pBdr/>
        <w:spacing w:line="240" w:lineRule="auto"/>
        <w:ind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Bdr/>
        <w:spacing w:afterAutospacing="1" w:beforeAutospacing="1" w:line="240" w:lineRule="auto"/>
        <w:ind/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 xml:space="preserve">Часть 4. ТЕХНИЧЕСКОЕ ЗАДАНИЕ</w:t>
      </w:r>
      <w:r>
        <w:rPr>
          <w:b/>
          <w:color w:val="000000"/>
          <w:szCs w:val="28"/>
        </w:rPr>
      </w:r>
    </w:p>
    <w:p>
      <w:pPr>
        <w:pBdr/>
        <w:spacing w:line="240" w:lineRule="auto"/>
        <w:ind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на поставку препаратов стоматологических</w:t>
      </w:r>
      <w:r>
        <w:rPr>
          <w:b/>
          <w:sz w:val="22"/>
          <w:szCs w:val="22"/>
        </w:rPr>
      </w:r>
    </w:p>
    <w:p>
      <w:pPr>
        <w:pBdr/>
        <w:spacing w:line="240" w:lineRule="auto"/>
        <w:ind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для нужд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ортопедического отделения</w:t>
      </w:r>
      <w:r>
        <w:rPr>
          <w:b/>
          <w:sz w:val="22"/>
          <w:szCs w:val="22"/>
        </w:rPr>
        <w:t xml:space="preserve"> государственного автономного учреждения здравоохранения Ставропольского края «Георгиевская стоматологическая поликлиника»</w:t>
      </w:r>
      <w:r>
        <w:rPr>
          <w:b/>
          <w:sz w:val="22"/>
          <w:szCs w:val="22"/>
        </w:rPr>
      </w:r>
    </w:p>
    <w:p>
      <w:pPr>
        <w:pBdr/>
        <w:spacing w:line="240" w:lineRule="auto"/>
        <w:ind w:firstLine="0"/>
        <w:rPr>
          <w:b/>
          <w:sz w:val="22"/>
          <w:szCs w:val="22"/>
        </w:rPr>
      </w:pP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 w14:paraId="064F6537">
      <w:pPr>
        <w:pBdr/>
        <w:spacing/>
        <w:ind/>
        <w:jc w:val="center"/>
        <w:rPr>
          <w:rFonts w:ascii="Times New Roman" w:hAnsi="Times New Roman" w:eastAsia="Calibri" w:cs="Times New Roman"/>
          <w:sz w:val="28"/>
          <w:szCs w:val="28"/>
          <w14:ligatures w14:val="none"/>
        </w:rPr>
      </w:pPr>
      <w:r>
        <w:rPr>
          <w:rFonts w:ascii="Times New Roman" w:hAnsi="Times New Roman" w:eastAsia="Calibri" w:cs="Times New Roman"/>
          <w:sz w:val="28"/>
          <w:szCs w:val="28"/>
          <w14:ligatures w14:val="none"/>
        </w:rPr>
        <w:t xml:space="preserve">Материалы</w:t>
      </w:r>
      <w:r>
        <w:rPr>
          <w:rFonts w:ascii="Times New Roman" w:hAnsi="Times New Roman" w:eastAsia="Calibri" w:cs="Times New Roman"/>
          <w:sz w:val="28"/>
          <w:szCs w:val="28"/>
          <w14:ligatures w14:val="none"/>
        </w:rPr>
      </w:r>
      <w:r>
        <w:rPr>
          <w:rFonts w:ascii="Times New Roman" w:hAnsi="Times New Roman" w:eastAsia="Calibri" w:cs="Times New Roman"/>
          <w:sz w:val="28"/>
          <w:szCs w:val="28"/>
          <w14:ligatures w14:val="none"/>
        </w:rPr>
      </w:r>
    </w:p>
    <w:tbl>
      <w:tblPr>
        <w:tblStyle w:val="796"/>
        <w:tblInd w:w="-714" w:type="dxa"/>
        <w:tblW w:w="10490" w:type="dxa"/>
        <w:tblBorders/>
        <w:tblLayout w:type="fixed"/>
        <w:tblLook w:val="04A0" w:firstRow="1" w:lastRow="0" w:firstColumn="1" w:lastColumn="0" w:noHBand="0" w:noVBand="1"/>
      </w:tblPr>
      <w:tblGrid>
        <w:gridCol w:w="709"/>
        <w:gridCol w:w="2694"/>
        <w:gridCol w:w="679"/>
        <w:gridCol w:w="739"/>
        <w:gridCol w:w="709"/>
        <w:gridCol w:w="1133"/>
        <w:gridCol w:w="3827"/>
      </w:tblGrid>
      <w:tr>
        <w:trPr>
          <w:trHeight w:val="296"/>
        </w:trPr>
        <w:tc>
          <w:tcPr>
            <w:tcBorders/>
            <w:tcW w:w="709" w:type="dxa"/>
            <w:textDirection w:val="lrTb"/>
            <w:noWrap w:val="false"/>
          </w:tcPr>
          <w:p w14:paraId="6E41EADC">
            <w:pPr>
              <w:numPr>
                <w:ilvl w:val="0"/>
                <w:numId w:val="23"/>
              </w:numPr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 w14:paraId="7C06A1B3">
            <w:pPr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eastAsia="ar-SA"/>
              </w:rPr>
              <w:t xml:space="preserve">Материал стоматологический слепочный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eastAsia="ar-SA"/>
              </w:rPr>
              <w:t xml:space="preserve">Ypeen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eastAsia="ar-SA"/>
              </w:rPr>
            </w:r>
          </w:p>
          <w:p w14:paraId="3EDD2112">
            <w:pPr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eastAsia="ar-SA"/>
              </w:rPr>
              <w:t xml:space="preserve">Spofa-Dental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eastAsia="ar-SA"/>
              </w:rPr>
              <w:t xml:space="preserve">., Чешская Республика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highlight w:val="yellow"/>
                <w:lang w:eastAsia="ar-SA"/>
              </w:rPr>
              <w:t xml:space="preserve"> 800 гр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eastAsia="ar-SA"/>
              </w:rPr>
            </w:r>
          </w:p>
          <w:p w14:paraId="3D9F77FE">
            <w:pPr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eastAsia="ar-SA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9" w:type="dxa"/>
            <w:textDirection w:val="lrTb"/>
            <w:noWrap w:val="false"/>
          </w:tcPr>
          <w:p w14:paraId="3987C508">
            <w:pPr>
              <w:pBdr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шт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9" w:type="dxa"/>
            <w:textDirection w:val="lrTb"/>
            <w:noWrap w:val="false"/>
          </w:tcPr>
          <w:p w14:paraId="04273798">
            <w:pPr>
              <w:pBdr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 w14:paraId="405D7054">
            <w:pPr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 w14:paraId="63EC8B1A">
            <w:pPr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 w14:paraId="4E2AD3C4">
            <w:pPr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альгинатная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 слепочная масса для съемных протезов, обладает оптимальной вязкостью, коротким временем отверждения, хорошо совместима с гипсом,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. Соотношение при замешивании: 20 мл воды : 10 г порошка. Время замешивания: 30 сек. Время обработки: 2 : 00 минут при температуре 23 °С (включая время замешивания). Время затвердевания: 2 : 30 минут при температуре 23 °С (включая время замешивания). 800 г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</w:r>
          </w:p>
        </w:tc>
      </w:tr>
      <w:tr>
        <w:trPr>
          <w:trHeight w:val="296"/>
        </w:trPr>
        <w:tc>
          <w:tcPr>
            <w:tcBorders/>
            <w:tcW w:w="709" w:type="dxa"/>
            <w:textDirection w:val="lrTb"/>
            <w:noWrap w:val="false"/>
          </w:tcPr>
          <w:p w14:paraId="2541CC80">
            <w:pPr>
              <w:numPr>
                <w:ilvl w:val="0"/>
                <w:numId w:val="23"/>
              </w:numPr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 w14:paraId="2B542048">
            <w:pPr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eastAsia="ar-SA"/>
              </w:rPr>
              <w:t xml:space="preserve">Материал стоматологический слепочной Hydrogum5, ZHERMACK, 453 г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eastAsia="ar-SA"/>
              </w:rPr>
            </w:r>
          </w:p>
          <w:p w14:paraId="1A429C36">
            <w:pPr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eastAsia="ar-SA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9" w:type="dxa"/>
            <w:textDirection w:val="lrTb"/>
            <w:noWrap w:val="false"/>
          </w:tcPr>
          <w:p w14:paraId="2013B526">
            <w:pPr>
              <w:pBdr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уп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9" w:type="dxa"/>
            <w:textDirection w:val="lrTb"/>
            <w:noWrap w:val="false"/>
          </w:tcPr>
          <w:p w14:paraId="4466474F">
            <w:pPr>
              <w:pBdr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 w14:paraId="3DC543C2">
            <w:pPr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 w14:paraId="66F55F41">
            <w:pPr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 w14:paraId="609E85A4">
            <w:pPr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Возможность длительного хранения оттиска, стабильность размеров сохраняется в течение 5 дней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br/>
              <w:t xml:space="preserve">Впитывание воды за 5 секунд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br/>
              <w:t xml:space="preserve">Легкое смешивание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br/>
              <w:t xml:space="preserve">Однородная масса, поверхность гладкая и компактная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br/>
              <w:t xml:space="preserve">Простое и быстрое замешивание без образования пузырьков с помощью смесителя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Alghamix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 II -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Zhermack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br/>
              <w:t xml:space="preserve">Надежная дезинфекция с помощью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Zeta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 7 Solution -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Zeta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 7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Spray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Zhermack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br/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br/>
              <w:t xml:space="preserve">Характеристики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br/>
              <w:t xml:space="preserve">Высокая стабильность размеров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br/>
              <w:t xml:space="preserve">Малое время обработки и схватывания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br/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Тиксотропный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</w:tc>
      </w:tr>
      <w:tr>
        <w:trPr>
          <w:trHeight w:val="296"/>
        </w:trPr>
        <w:tc>
          <w:tcPr>
            <w:tcBorders/>
            <w:tcW w:w="709" w:type="dxa"/>
            <w:textDirection w:val="lrTb"/>
            <w:noWrap w:val="false"/>
          </w:tcPr>
          <w:p w14:paraId="18CBDA68">
            <w:pPr>
              <w:numPr>
                <w:ilvl w:val="0"/>
                <w:numId w:val="23"/>
              </w:numPr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 w14:paraId="5D4E95AB">
            <w:pPr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eastAsia="ar-SA"/>
              </w:rPr>
              <w:t xml:space="preserve">Zetaplus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eastAsia="ar-SA"/>
              </w:rPr>
              <w:t xml:space="preserve"> L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eastAsia="ar-SA"/>
              </w:rPr>
              <w:t xml:space="preserve">IntroKit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eastAsia="ar-SA"/>
              </w:rPr>
              <w:t xml:space="preserve"> С-силикон набор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eastAsia="ar-SA"/>
              </w:rPr>
            </w:r>
          </w:p>
          <w:p w14:paraId="3CE97AE3">
            <w:pPr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eastAsia="ar-SA"/>
              </w:rPr>
              <w:t xml:space="preserve">Zhermack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eastAsia="ar-S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eastAsia="ar-SA"/>
              </w:rPr>
              <w:t xml:space="preserve">S.p.A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eastAsia="ar-SA"/>
              </w:rPr>
              <w:t xml:space="preserve">., Италия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eastAsia="ar-SA"/>
              </w:rPr>
            </w:r>
          </w:p>
          <w:p w14:paraId="3EF91FBE">
            <w:pPr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eastAsia="ar-SA"/>
              </w:rPr>
              <w:t xml:space="preserve">Стоматологический оттискной материал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eastAsia="ar-SA"/>
              </w:rPr>
              <w:tab/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eastAsia="ar-SA"/>
              </w:rPr>
              <w:tab/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eastAsia="ar-SA"/>
              </w:rPr>
              <w:tab/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eastAsia="ar-SA"/>
              </w:rPr>
              <w:tab/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eastAsia="ar-SA"/>
              </w:rPr>
              <w:tab/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eastAsia="ar-SA"/>
              </w:rPr>
            </w:r>
          </w:p>
          <w:p w14:paraId="229B9141">
            <w:pPr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9" w:type="dxa"/>
            <w:textDirection w:val="lrTb"/>
            <w:noWrap w:val="false"/>
          </w:tcPr>
          <w:p w14:paraId="7E7C62ED">
            <w:pPr>
              <w:pBdr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eastAsia="ar-SA"/>
              </w:rPr>
              <w:t xml:space="preserve">уп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9" w:type="dxa"/>
            <w:textDirection w:val="lrTb"/>
            <w:noWrap w:val="false"/>
          </w:tcPr>
          <w:p w14:paraId="4023D176">
            <w:pPr>
              <w:pBdr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eastAsia="ar-SA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 w14:paraId="58A4E24C">
            <w:pPr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highlight w:val="yellow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 w14:paraId="6FED6326">
            <w:pPr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 w14:paraId="2EF2BD7F">
            <w:pPr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  <w:t xml:space="preserve">С-силикон очень высокой вязкости, густая консистенция. Двухфазовая техника слепка.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</w:r>
          </w:p>
          <w:p w14:paraId="7738014E">
            <w:pPr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  <w:t xml:space="preserve">Высокая начальная текучесть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</w:r>
          </w:p>
          <w:p w14:paraId="619DA870">
            <w:pPr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  <w:t xml:space="preserve">Зеленый цвет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</w:r>
          </w:p>
          <w:p w14:paraId="5240C189">
            <w:pPr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  <w:t xml:space="preserve">Мятный аромат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</w:r>
          </w:p>
          <w:p w14:paraId="714B3B85">
            <w:pPr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  <w:t xml:space="preserve">Технические данные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</w:r>
          </w:p>
          <w:p w14:paraId="541E09EE">
            <w:pPr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  <w:t xml:space="preserve">ADA 19-Тип 0 . Очень густая консистенция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</w:r>
          </w:p>
          <w:p w14:paraId="2D6FB510">
            <w:pPr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  <w:t xml:space="preserve">Время смешивания - 30''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</w:r>
          </w:p>
          <w:p w14:paraId="79F55A01">
            <w:pPr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  <w:t xml:space="preserve">Общее время обработки (23°C/73°F)-  1' 15''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</w:r>
          </w:p>
          <w:p w14:paraId="59D2311A">
            <w:pPr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  <w:t xml:space="preserve">Пребывание в полости рта - 3' 15''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</w:r>
          </w:p>
          <w:p w14:paraId="6E92149D">
            <w:pPr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  <w:t xml:space="preserve">Время схватывания (23°C/73°F)  4'30''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</w:r>
          </w:p>
          <w:p w14:paraId="0547A864">
            <w:pPr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  <w:t xml:space="preserve">Деформация при сжатии (мин-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  <w:t xml:space="preserve">max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  <w:t xml:space="preserve">) - 2-5*%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</w:r>
          </w:p>
          <w:p w14:paraId="57450179">
            <w:pPr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  <w:t xml:space="preserve">Упругое восстановление - 99%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</w:r>
          </w:p>
          <w:p w14:paraId="7B7D3452">
            <w:pPr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  <w:t xml:space="preserve">Стабильность размеров (через сутки) - 0.1%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</w:r>
          </w:p>
          <w:p w14:paraId="47C17BD7">
            <w:pPr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  <w:t xml:space="preserve">Комплектация: база 900 мл,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  <w:t xml:space="preserve">коррегирующий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  <w:t xml:space="preserve"> слой 140 мл, катализатор в виде геля 60 мл,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  <w:t xml:space="preserve">смесительный блокнот со шкалой дозировки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</w:r>
          </w:p>
        </w:tc>
      </w:tr>
      <w:tr>
        <w:trPr>
          <w:trHeight w:val="296"/>
        </w:trPr>
        <w:tc>
          <w:tcPr>
            <w:tcBorders/>
            <w:tcW w:w="709" w:type="dxa"/>
            <w:textDirection w:val="lrTb"/>
            <w:noWrap w:val="false"/>
          </w:tcPr>
          <w:p w14:paraId="2C404635">
            <w:pPr>
              <w:numPr>
                <w:ilvl w:val="0"/>
                <w:numId w:val="23"/>
              </w:numPr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 w14:paraId="07266184">
            <w:pPr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val="en-US" w:eastAsia="ar-SA"/>
              </w:rPr>
              <w:t xml:space="preserve">ZETA PLUS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eastAsia="ar-SA"/>
              </w:rPr>
              <w:t xml:space="preserve">активатор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val="en-US" w:eastAsia="ar-S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val="en-US" w:eastAsia="ar-SA"/>
              </w:rPr>
              <w:t xml:space="preserve">Indurent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val="en-US" w:eastAsia="ar-SA"/>
              </w:rPr>
              <w:t xml:space="preserve"> gel 60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eastAsia="ar-SA"/>
              </w:rPr>
              <w:t xml:space="preserve">мл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val="en-US" w:eastAsia="ar-SA"/>
              </w:rPr>
              <w:t xml:space="preserve"> C100700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val="en-US" w:eastAsia="ar-SA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val="en-US" w:eastAsia="ar-SA"/>
              </w:rPr>
            </w:r>
          </w:p>
          <w:p w14:paraId="6B52230A">
            <w:pPr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val="en-US" w:eastAsia="ar-SA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val="en-US" w:eastAsia="ar-SA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val="en-US" w:eastAsia="ar-SA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9" w:type="dxa"/>
            <w:textDirection w:val="lrTb"/>
            <w:noWrap w:val="false"/>
          </w:tcPr>
          <w:p w14:paraId="4C2A2B54">
            <w:pPr>
              <w:pBdr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eastAsia="ar-SA"/>
              </w:rPr>
              <w:t xml:space="preserve">уп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eastAsia="ar-SA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9" w:type="dxa"/>
            <w:textDirection w:val="lrTb"/>
            <w:noWrap w:val="false"/>
          </w:tcPr>
          <w:p w14:paraId="263B68CE">
            <w:pPr>
              <w:pBdr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eastAsia="ar-SA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eastAsia="ar-SA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 w14:paraId="19957432">
            <w:pPr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highlight w:val="yellow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 w14:paraId="0691B0DF">
            <w:pPr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 w14:paraId="706EACD8">
            <w:pPr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  <w:t xml:space="preserve">ZetaPlus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  <w:t xml:space="preserve"> — С-силиконовая оттискная масса.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</w:r>
          </w:p>
          <w:p w14:paraId="7203FF31">
            <w:pPr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  <w:t xml:space="preserve">Indurent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  <w:t xml:space="preserve">gel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  <w:t xml:space="preserve"> - универсальный катализатор (активатор) 60мл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</w:r>
          </w:p>
          <w:p w14:paraId="24CE614D">
            <w:pPr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</w:r>
          </w:p>
        </w:tc>
      </w:tr>
      <w:tr>
        <w:trPr>
          <w:trHeight w:val="296"/>
        </w:trPr>
        <w:tc>
          <w:tcPr>
            <w:tcBorders/>
            <w:tcW w:w="709" w:type="dxa"/>
            <w:textDirection w:val="lrTb"/>
            <w:noWrap w:val="false"/>
          </w:tcPr>
          <w:p w14:paraId="50AD5057">
            <w:pPr>
              <w:numPr>
                <w:ilvl w:val="0"/>
                <w:numId w:val="23"/>
              </w:numPr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 w14:paraId="1632186E">
            <w:pPr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eastAsia="ar-SA"/>
              </w:rPr>
              <w:t xml:space="preserve">Оранваш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eastAsia="ar-SA"/>
              </w:rPr>
              <w:t xml:space="preserve"> /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eastAsia="ar-SA"/>
              </w:rPr>
              <w:t xml:space="preserve">Oranwash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eastAsia="ar-SA"/>
              </w:rPr>
              <w:t xml:space="preserve"> L 140 мл C100660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eastAsia="ar-SA"/>
              </w:rPr>
            </w:r>
          </w:p>
          <w:p w14:paraId="0388C4C8">
            <w:pPr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val="en-US" w:eastAsia="ar-SA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val="en-US" w:eastAsia="ar-SA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val="en-US" w:eastAsia="ar-SA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9" w:type="dxa"/>
            <w:textDirection w:val="lrTb"/>
            <w:noWrap w:val="false"/>
          </w:tcPr>
          <w:p w14:paraId="2AA878A2">
            <w:pPr>
              <w:pBdr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eastAsia="ar-SA"/>
              </w:rPr>
              <w:t xml:space="preserve">уп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eastAsia="ar-SA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9" w:type="dxa"/>
            <w:textDirection w:val="lrTb"/>
            <w:noWrap w:val="false"/>
          </w:tcPr>
          <w:p w14:paraId="731A68C7">
            <w:pPr>
              <w:pBdr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eastAsia="ar-SA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eastAsia="ar-SA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 w14:paraId="37E012AD">
            <w:pPr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highlight w:val="yellow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 w14:paraId="14839639">
            <w:pPr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 w14:paraId="71BBD541">
            <w:pPr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  <w:t xml:space="preserve">Oranwash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  <w:t xml:space="preserve"> L –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  <w:t xml:space="preserve">коррегирующий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  <w:t xml:space="preserve"> слой, текучий, в тубе 140 мл, цвет желтый, аромат апельсина.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</w:r>
          </w:p>
        </w:tc>
      </w:tr>
      <w:tr>
        <w:trPr>
          <w:trHeight w:val="296"/>
        </w:trPr>
        <w:tc>
          <w:tcPr>
            <w:tcBorders/>
            <w:tcW w:w="709" w:type="dxa"/>
            <w:textDirection w:val="lrTb"/>
            <w:noWrap w:val="false"/>
          </w:tcPr>
          <w:p w14:paraId="2C6B7120">
            <w:pPr>
              <w:numPr>
                <w:ilvl w:val="0"/>
                <w:numId w:val="23"/>
              </w:numPr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 w14:paraId="0F74A334">
            <w:pPr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  <w:t xml:space="preserve">Материал стоматологический слепочный: Elite HD+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:lang w:val="en-US"/>
              </w:rPr>
              <w:t xml:space="preserve">Regular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:lang w:val="en-US"/>
              </w:rPr>
              <w:t xml:space="preserve">Body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:lang w:val="en-US"/>
              </w:rPr>
              <w:t xml:space="preserve">Normal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:lang w:val="en-US"/>
              </w:rPr>
              <w:t xml:space="preserve">Set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  <w:t xml:space="preserve">гидросовместимый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  <w:t xml:space="preserve"> А-Силикон средней вязкости, средняя консистенция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</w:r>
          </w:p>
          <w:p w14:paraId="36D10001">
            <w:pPr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  <w:t xml:space="preserve">2 x 50 мл картриджа (база + катализатор) + 12 желтых смесительных наконечнико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:highlight w:val="yellow"/>
              </w:rPr>
            </w:r>
          </w:p>
          <w:p w14:paraId="5E8BCDCE">
            <w:pPr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</w:r>
          </w:p>
          <w:p w14:paraId="2BDBE187">
            <w:pPr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:lang w:val="en-US"/>
              </w:rPr>
              <w:t xml:space="preserve">Zhermack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  <w:lang w:val="en-US"/>
              </w:rPr>
              <w:t xml:space="preserve"> S.p.A.,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  <w:t xml:space="preserve">Италия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eastAsia="ar-SA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9" w:type="dxa"/>
            <w:textDirection w:val="lrTb"/>
            <w:noWrap w:val="false"/>
          </w:tcPr>
          <w:p w14:paraId="679E1837">
            <w:pPr>
              <w:pBdr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уп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eastAsia="ar-SA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9" w:type="dxa"/>
            <w:textDirection w:val="lrTb"/>
            <w:noWrap w:val="false"/>
          </w:tcPr>
          <w:p w14:paraId="13155C4D">
            <w:pPr>
              <w:pBdr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eastAsia="ar-SA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 w14:paraId="3F575352">
            <w:pPr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highlight w:val="yellow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 w14:paraId="27AC7345">
            <w:pPr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 w14:paraId="5995D5E9">
            <w:pPr>
              <w:pStyle w:val="737"/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гидросовместимый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 А-Силикон средней вязкости, средняя консистенция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  <w:p w14:paraId="7D26205C">
            <w:pPr>
              <w:pStyle w:val="737"/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eastAsia="ru-RU"/>
              </w:rPr>
              <w:t xml:space="preserve">SO 4823 - ADA 19: Тип 2 Средняя консистенция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eastAsia="ru-RU"/>
              </w:rPr>
            </w:r>
          </w:p>
          <w:p w14:paraId="25EFBB02">
            <w:pPr>
              <w:pStyle w:val="737"/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eastAsia="ru-RU"/>
              </w:rPr>
              <w:t xml:space="preserve">Общее время обработки (23°C/73°F): 2'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eastAsia="ru-RU"/>
              </w:rPr>
            </w:r>
          </w:p>
          <w:p w14:paraId="75E1255A">
            <w:pPr>
              <w:pStyle w:val="737"/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eastAsia="ru-RU"/>
              </w:rPr>
              <w:t xml:space="preserve">Пребывание в полости рта: 3' 30"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eastAsia="ru-RU"/>
              </w:rPr>
            </w:r>
          </w:p>
          <w:p w14:paraId="21E884E3">
            <w:pPr>
              <w:pStyle w:val="737"/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eastAsia="ru-RU"/>
              </w:rPr>
              <w:t xml:space="preserve">Время схватывания (23°C/73°F): 5' 30"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eastAsia="ru-RU"/>
              </w:rPr>
            </w:r>
          </w:p>
          <w:p w14:paraId="0491D6A1">
            <w:pPr>
              <w:pStyle w:val="737"/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eastAsia="ru-RU"/>
              </w:rPr>
              <w:t xml:space="preserve">Упругое восстановление:    &gt; 99.5 %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eastAsia="ru-RU"/>
              </w:rPr>
            </w:r>
          </w:p>
          <w:p w14:paraId="0154A248">
            <w:pPr>
              <w:pStyle w:val="737"/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eastAsia="ru-RU"/>
              </w:rPr>
              <w:t xml:space="preserve">Стабильность размеров (через сутки): &lt; 0.20 %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eastAsia="ru-RU"/>
              </w:rPr>
            </w:r>
          </w:p>
          <w:p w14:paraId="05B2D700">
            <w:pPr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eastAsia="ru-RU"/>
              </w:rPr>
              <w:t xml:space="preserve">Твердость (По Шору А): 45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</w:r>
          </w:p>
        </w:tc>
      </w:tr>
      <w:tr>
        <w:trPr>
          <w:trHeight w:val="296"/>
        </w:trPr>
        <w:tc>
          <w:tcPr>
            <w:tcBorders/>
            <w:tcW w:w="709" w:type="dxa"/>
            <w:textDirection w:val="lrTb"/>
            <w:noWrap w:val="false"/>
          </w:tcPr>
          <w:p w14:paraId="7CD60405">
            <w:pPr>
              <w:numPr>
                <w:ilvl w:val="0"/>
                <w:numId w:val="23"/>
              </w:numPr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 w14:paraId="1800B7B9">
            <w:pPr>
              <w:pStyle w:val="758"/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val="en-US"/>
              </w:rPr>
              <w:t xml:space="preserve">Zhermak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Окклюфаст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 рок - А-силикон для регистрации прикуса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  <w:p w14:paraId="542D58E8">
            <w:pPr>
              <w:pStyle w:val="758"/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2 x 50 мл картриджа (база + катализатор) + 12 зеленых смесительных наконечников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  <w:p w14:paraId="6BFA584F">
            <w:pPr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val="en-US"/>
              </w:rPr>
              <w:t xml:space="preserve">Zhermack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val="en-US"/>
              </w:rPr>
              <w:t xml:space="preserve">S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val="en-US"/>
              </w:rPr>
              <w:t xml:space="preserve">p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val="en-US"/>
              </w:rPr>
              <w:t xml:space="preserve">A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., Италия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  <w:p w14:paraId="5ED4C1C2">
            <w:pPr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eastAsia="ar-SA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9" w:type="dxa"/>
            <w:textDirection w:val="lrTb"/>
            <w:noWrap w:val="false"/>
          </w:tcPr>
          <w:p w14:paraId="04E8E9E6">
            <w:pPr>
              <w:pBdr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уп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eastAsia="ar-SA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9" w:type="dxa"/>
            <w:textDirection w:val="lrTb"/>
            <w:noWrap w:val="false"/>
          </w:tcPr>
          <w:p w14:paraId="589F2AED">
            <w:pPr>
              <w:pBdr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eastAsia="ar-SA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 w14:paraId="4527B203">
            <w:pPr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highlight w:val="yellow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 w14:paraId="4477ED8A">
            <w:pPr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 w14:paraId="61508486">
            <w:pPr>
              <w:pStyle w:val="758"/>
              <w:pBdr/>
              <w:spacing w:line="240" w:lineRule="auto"/>
              <w:ind w:firstLine="33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Конечная твердость по Шору: 95 единиц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  <w:p w14:paraId="32583D6A">
            <w:pPr>
              <w:pStyle w:val="758"/>
              <w:pBdr/>
              <w:spacing w:line="240" w:lineRule="auto"/>
              <w:ind w:firstLine="33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Консистенция материала из упаковки: Паста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  <w:p w14:paraId="0E8844BB">
            <w:pPr>
              <w:pStyle w:val="758"/>
              <w:pBdr/>
              <w:spacing w:line="240" w:lineRule="auto"/>
              <w:ind w:firstLine="33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Цвет: Фиолетовый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  <w:p w14:paraId="59A9E3CA">
            <w:pPr>
              <w:pStyle w:val="758"/>
              <w:pBdr/>
              <w:spacing w:line="240" w:lineRule="auto"/>
              <w:ind w:firstLine="33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Рабочее время, включая замешивание: Нет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  <w:p w14:paraId="3C1C1DD6">
            <w:pPr>
              <w:pStyle w:val="758"/>
              <w:pBdr/>
              <w:spacing w:line="240" w:lineRule="auto"/>
              <w:ind w:firstLine="33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Консистенция готового продукта: Вязкая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  <w:p w14:paraId="4DE6E050">
            <w:pPr>
              <w:pStyle w:val="758"/>
              <w:pBdr/>
              <w:spacing w:line="240" w:lineRule="auto"/>
              <w:ind w:firstLine="33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Категория материала: А-силикон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  <w:p w14:paraId="042A36EB">
            <w:pPr>
              <w:pStyle w:val="758"/>
              <w:pBdr/>
              <w:spacing w:line="240" w:lineRule="auto"/>
              <w:ind w:firstLine="33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Тип упаковки: Картридж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  <w:p w14:paraId="0E8B7C8E">
            <w:pPr>
              <w:pStyle w:val="758"/>
              <w:pBdr/>
              <w:spacing w:line="240" w:lineRule="auto"/>
              <w:ind w:firstLine="33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Фасовка: 2х50 мл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  <w:p w14:paraId="30F79874">
            <w:pPr>
              <w:pStyle w:val="758"/>
              <w:pBdr/>
              <w:spacing w:line="240" w:lineRule="auto"/>
              <w:ind w:firstLine="33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Соотношение компонентов  1 : 1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  <w:p w14:paraId="196DEB4E">
            <w:pPr>
              <w:pStyle w:val="758"/>
              <w:pBdr/>
              <w:spacing w:line="240" w:lineRule="auto"/>
              <w:ind w:firstLine="33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Область применения: Коронки, Протезирование, Протезы съемные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  <w:p w14:paraId="2B0B6905">
            <w:pPr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Линейка: Elite Rock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</w:r>
          </w:p>
        </w:tc>
      </w:tr>
      <w:tr>
        <w:trPr>
          <w:trHeight w:val="296"/>
        </w:trPr>
        <w:tc>
          <w:tcPr>
            <w:tcBorders/>
            <w:tcW w:w="709" w:type="dxa"/>
            <w:textDirection w:val="lrTb"/>
            <w:noWrap w:val="false"/>
          </w:tcPr>
          <w:p w14:paraId="19D362A2">
            <w:pPr>
              <w:numPr>
                <w:ilvl w:val="0"/>
                <w:numId w:val="23"/>
              </w:numPr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 w14:paraId="01AE6898">
            <w:pPr>
              <w:pStyle w:val="758"/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  <w:p w14:paraId="6861FD7B">
            <w:pPr>
              <w:pStyle w:val="758"/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val="en-US"/>
              </w:rPr>
              <w:t xml:space="preserve">Elite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val="en-US"/>
              </w:rPr>
              <w:t xml:space="preserve">D + Putty Soft Normal Setting (2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val="en-US"/>
              </w:rPr>
              <w:t xml:space="preserve">250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мл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val="en-US"/>
              </w:rPr>
              <w:t xml:space="preserve">)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val="en-US"/>
              </w:rPr>
              <w:t xml:space="preserve">203000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val="en-US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val="en-US"/>
              </w:rPr>
            </w:r>
          </w:p>
          <w:p w14:paraId="09A34AC0">
            <w:pPr>
              <w:pStyle w:val="758"/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val="en-US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val="en-US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val="en-US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9" w:type="dxa"/>
            <w:textDirection w:val="lrTb"/>
            <w:noWrap w:val="false"/>
          </w:tcPr>
          <w:p w14:paraId="257C493F">
            <w:pPr>
              <w:pBdr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уп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9" w:type="dxa"/>
            <w:textDirection w:val="lrTb"/>
            <w:noWrap w:val="false"/>
          </w:tcPr>
          <w:p w14:paraId="2B705DC3">
            <w:pPr>
              <w:pBdr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 w14:paraId="29898FA6">
            <w:pPr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highlight w:val="yellow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 w14:paraId="688CD8C1">
            <w:pPr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 w14:paraId="6C2E1913">
            <w:pPr>
              <w:pStyle w:val="758"/>
              <w:pBdr/>
              <w:spacing w:line="240" w:lineRule="auto"/>
              <w:ind w:firstLine="33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/>
                <w:iCs/>
                <w:sz w:val="20"/>
                <w:szCs w:val="20"/>
              </w:rPr>
              <w:t xml:space="preserve">Elite HD+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/>
                <w:iCs/>
                <w:sz w:val="20"/>
                <w:szCs w:val="20"/>
              </w:rPr>
              <w:t xml:space="preserve">Putty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 - 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/>
                <w:iCs/>
                <w:sz w:val="20"/>
                <w:szCs w:val="20"/>
              </w:rPr>
              <w:t xml:space="preserve">это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/>
                <w:iCs/>
                <w:sz w:val="20"/>
                <w:szCs w:val="20"/>
              </w:rPr>
              <w:t xml:space="preserve">А-силикон  для снятия первого (базового) оттиска. Подходит как для двухэтапной техники (двойной оттиск), так и для одноэтапной (одномоментный оттиск) техники. 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</w:tc>
      </w:tr>
      <w:tr>
        <w:trPr>
          <w:trHeight w:val="296"/>
        </w:trPr>
        <w:tc>
          <w:tcPr>
            <w:tcBorders/>
            <w:tcW w:w="709" w:type="dxa"/>
            <w:textDirection w:val="lrTb"/>
            <w:noWrap w:val="false"/>
          </w:tcPr>
          <w:p w14:paraId="0D216E80">
            <w:pPr>
              <w:numPr>
                <w:ilvl w:val="0"/>
                <w:numId w:val="23"/>
              </w:numPr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 w14:paraId="56479315">
            <w:pPr>
              <w:pStyle w:val="758"/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val="en-US"/>
              </w:rPr>
              <w:t xml:space="preserve">Elite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val="en-US"/>
              </w:rPr>
              <w:t xml:space="preserve">D + Light Body Fast Setting (2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val="en-US"/>
              </w:rPr>
              <w:t xml:space="preserve">50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мл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val="en-US"/>
              </w:rPr>
              <w:t xml:space="preserve">+12mix)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val="en-US"/>
              </w:rPr>
              <w:t xml:space="preserve">203040,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val="en-US"/>
              </w:rPr>
              <w:t xml:space="preserve">Zhermack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val="en-US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val="en-US"/>
              </w:rPr>
            </w:r>
          </w:p>
          <w:p w14:paraId="0EAA4F12">
            <w:pPr>
              <w:pStyle w:val="758"/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val="en-US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val="en-US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val="en-US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9" w:type="dxa"/>
            <w:textDirection w:val="lrTb"/>
            <w:noWrap w:val="false"/>
          </w:tcPr>
          <w:p w14:paraId="7D8AD65E">
            <w:pPr>
              <w:pBdr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уп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9" w:type="dxa"/>
            <w:textDirection w:val="lrTb"/>
            <w:noWrap w:val="false"/>
          </w:tcPr>
          <w:p w14:paraId="18C7A5E8">
            <w:pPr>
              <w:pBdr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 w14:paraId="3321507F">
            <w:pPr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highlight w:val="yellow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 w14:paraId="46CB6892">
            <w:pPr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 w14:paraId="66A50312">
            <w:pPr>
              <w:pStyle w:val="758"/>
              <w:pBdr/>
              <w:spacing w:line="240" w:lineRule="auto"/>
              <w:ind w:firstLine="33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Elite НD + Light Body Fast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Setting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Гидросовместимый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 А-Силикон низкой вязкости. Текучая консистенция.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  <w:p w14:paraId="07C14390">
            <w:pPr>
              <w:pStyle w:val="758"/>
              <w:numPr>
                <w:ilvl w:val="0"/>
                <w:numId w:val="29"/>
              </w:numPr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Пропорция при смешивании 1:1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  <w:p w14:paraId="7C7C6F3A">
            <w:pPr>
              <w:pStyle w:val="758"/>
              <w:numPr>
                <w:ilvl w:val="0"/>
                <w:numId w:val="29"/>
              </w:numPr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Гидросовместимость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  <w:p w14:paraId="325D8393">
            <w:pPr>
              <w:pStyle w:val="758"/>
              <w:numPr>
                <w:ilvl w:val="0"/>
                <w:numId w:val="29"/>
              </w:numPr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Тиксотропия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  <w:p w14:paraId="7027137C">
            <w:pPr>
              <w:pStyle w:val="758"/>
              <w:numPr>
                <w:ilvl w:val="0"/>
                <w:numId w:val="29"/>
              </w:numPr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Идеальное соотношение между временем обработки и затвердеванием (эффект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Snap-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set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br/>
              <w:t xml:space="preserve">- Длительное время обработки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br/>
              <w:t xml:space="preserve">- Минимальное время пребывания в полости рта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  <w:p w14:paraId="4DFE6A1F">
            <w:pPr>
              <w:pStyle w:val="758"/>
              <w:numPr>
                <w:ilvl w:val="0"/>
                <w:numId w:val="29"/>
              </w:numPr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Биосовместимость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  <w:p w14:paraId="4358C6FD">
            <w:pPr>
              <w:pStyle w:val="758"/>
              <w:numPr>
                <w:ilvl w:val="0"/>
                <w:numId w:val="29"/>
              </w:numPr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Зеленого цвета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  <w:p w14:paraId="58BD69AC">
            <w:pPr>
              <w:pStyle w:val="758"/>
              <w:pBdr/>
              <w:spacing w:line="240" w:lineRule="auto"/>
              <w:ind w:firstLine="33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</w:tc>
      </w:tr>
      <w:tr>
        <w:trPr>
          <w:trHeight w:val="296"/>
        </w:trPr>
        <w:tc>
          <w:tcPr>
            <w:tcBorders/>
            <w:tcW w:w="709" w:type="dxa"/>
            <w:textDirection w:val="lrTb"/>
            <w:noWrap w:val="false"/>
          </w:tcPr>
          <w:p w14:paraId="0E7CBD24">
            <w:pPr>
              <w:numPr>
                <w:ilvl w:val="0"/>
                <w:numId w:val="23"/>
              </w:numPr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 w14:paraId="56F08DE2">
            <w:pPr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eastAsia="ar-SA"/>
              </w:rPr>
              <w:t xml:space="preserve">Универсальный клей для слепочных ложек Universal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eastAsia="ar-SA"/>
              </w:rPr>
              <w:t xml:space="preserve">Tray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eastAsia="ar-S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eastAsia="ar-SA"/>
              </w:rPr>
              <w:t xml:space="preserve">Adhesive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eastAsia="ar-SA"/>
              </w:rPr>
              <w:t xml:space="preserve">, ZHERMACK, 10 мл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eastAsia="ar-SA"/>
              </w:rPr>
            </w:r>
          </w:p>
          <w:p w14:paraId="2F7BFDA0">
            <w:pPr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eastAsia="ar-SA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9" w:type="dxa"/>
            <w:textDirection w:val="lrTb"/>
            <w:noWrap w:val="false"/>
          </w:tcPr>
          <w:p w14:paraId="3C5FAC0D">
            <w:pPr>
              <w:pBdr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eastAsia="ar-SA"/>
              </w:rPr>
              <w:t xml:space="preserve">уп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eastAsia="ar-SA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9" w:type="dxa"/>
            <w:textDirection w:val="lrTb"/>
            <w:noWrap w:val="false"/>
          </w:tcPr>
          <w:p w14:paraId="01AE3701">
            <w:pPr>
              <w:pBdr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eastAsia="ar-SA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eastAsia="ar-SA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 w14:paraId="2F57B74B">
            <w:pPr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highlight w:val="yellow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 w14:paraId="013DA08E">
            <w:pPr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 w14:paraId="23F85FA0">
            <w:pPr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  <w:t xml:space="preserve">Universal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  <w:t xml:space="preserve">Tray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  <w:t xml:space="preserve">Adhesive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  <w:t xml:space="preserve"> 10мл - Адгезив для слепочных ложек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</w:r>
          </w:p>
        </w:tc>
      </w:tr>
      <w:tr>
        <w:trPr>
          <w:trHeight w:val="296"/>
        </w:trPr>
        <w:tc>
          <w:tcPr>
            <w:tcBorders/>
            <w:tcW w:w="709" w:type="dxa"/>
            <w:textDirection w:val="lrTb"/>
            <w:noWrap w:val="false"/>
          </w:tcPr>
          <w:p w14:paraId="5A20183B">
            <w:pPr>
              <w:numPr>
                <w:ilvl w:val="0"/>
                <w:numId w:val="23"/>
              </w:numPr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 w14:paraId="4D456739">
            <w:pPr>
              <w:pStyle w:val="737"/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val="ru-RU"/>
              </w:rPr>
              <w:br/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val="ru-RU"/>
              </w:rPr>
              <w:t xml:space="preserve">Starbond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val="ru-RU"/>
              </w:rPr>
              <w:t xml:space="preserve"> Ni (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val="ru-RU"/>
              </w:rPr>
              <w:t xml:space="preserve">Старбонд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val="ru-RU"/>
              </w:rPr>
              <w:t xml:space="preserve">) сплав никель-хромовый, для керамики, 1 кг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val="ru-RU"/>
              </w:rPr>
            </w:r>
          </w:p>
          <w:p w14:paraId="31FC9AEE">
            <w:pPr>
              <w:pStyle w:val="737"/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  <w:p w14:paraId="4E6BF065">
            <w:pPr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eastAsia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9" w:type="dxa"/>
            <w:textDirection w:val="lrTb"/>
            <w:noWrap w:val="false"/>
          </w:tcPr>
          <w:p w14:paraId="6D9A5B39">
            <w:pPr>
              <w:pBdr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  <w:t xml:space="preserve">кг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eastAsia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9" w:type="dxa"/>
            <w:textDirection w:val="lrTb"/>
            <w:noWrap w:val="false"/>
          </w:tcPr>
          <w:p w14:paraId="05D2892C">
            <w:pPr>
              <w:pBdr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eastAsia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 w14:paraId="04E1683F">
            <w:pPr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 w14:paraId="6F10D5CE">
            <w:pPr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 w14:paraId="107C4E83">
            <w:pPr>
              <w:pStyle w:val="737"/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val="ru-RU"/>
              </w:rPr>
              <w:t xml:space="preserve">Технические характеристики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val="ru-RU"/>
              </w:rPr>
            </w:r>
          </w:p>
          <w:p w14:paraId="474218D3">
            <w:pPr>
              <w:pStyle w:val="737"/>
              <w:numPr>
                <w:ilvl w:val="0"/>
                <w:numId w:val="24"/>
              </w:numPr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val="ru-RU"/>
              </w:rPr>
              <w:t xml:space="preserve">Граница растяжения (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val="ru-RU"/>
              </w:rPr>
              <w:t xml:space="preserve">Rp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val="ru-RU"/>
              </w:rPr>
              <w:t xml:space="preserve"> 0.2): 340 - 355MPa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val="ru-RU"/>
              </w:rPr>
            </w:r>
          </w:p>
          <w:p w14:paraId="282733FE">
            <w:pPr>
              <w:pStyle w:val="737"/>
              <w:numPr>
                <w:ilvl w:val="0"/>
                <w:numId w:val="24"/>
              </w:numPr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val="ru-RU"/>
              </w:rPr>
              <w:t xml:space="preserve">Прочность на растяжение: 490 - 510MPa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val="ru-RU"/>
              </w:rPr>
            </w:r>
          </w:p>
          <w:p w14:paraId="6F271400">
            <w:pPr>
              <w:pStyle w:val="737"/>
              <w:numPr>
                <w:ilvl w:val="0"/>
                <w:numId w:val="24"/>
              </w:numPr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val="ru-RU"/>
              </w:rPr>
              <w:t xml:space="preserve">Растяжение при разрыве: 5%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val="ru-RU"/>
              </w:rPr>
            </w:r>
          </w:p>
          <w:p w14:paraId="44C1F107">
            <w:pPr>
              <w:pStyle w:val="737"/>
              <w:numPr>
                <w:ilvl w:val="0"/>
                <w:numId w:val="24"/>
              </w:numPr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val="ru-RU"/>
              </w:rPr>
              <w:t xml:space="preserve">Модуль эластичности: 200GPa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val="ru-RU"/>
              </w:rPr>
            </w:r>
          </w:p>
          <w:p w14:paraId="0F5E4A49">
            <w:pPr>
              <w:pStyle w:val="737"/>
              <w:numPr>
                <w:ilvl w:val="0"/>
                <w:numId w:val="24"/>
              </w:numPr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val="ru-RU"/>
              </w:rPr>
              <w:t xml:space="preserve">Твердость по Виккерсу: 200 HV 10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val="ru-RU"/>
              </w:rPr>
            </w:r>
          </w:p>
          <w:p w14:paraId="104670B7">
            <w:pPr>
              <w:pStyle w:val="737"/>
              <w:numPr>
                <w:ilvl w:val="0"/>
                <w:numId w:val="24"/>
              </w:numPr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val="ru-RU"/>
              </w:rPr>
              <w:t xml:space="preserve">Плотность: 8,2 - 8,3г/cm³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val="ru-RU"/>
              </w:rPr>
            </w:r>
          </w:p>
          <w:p w14:paraId="3A87BA4B">
            <w:pPr>
              <w:pStyle w:val="737"/>
              <w:numPr>
                <w:ilvl w:val="0"/>
                <w:numId w:val="24"/>
              </w:numPr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val="ru-RU"/>
              </w:rPr>
              <w:t xml:space="preserve">Solidus-Liquidus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val="ru-RU"/>
              </w:rPr>
              <w:t xml:space="preserve"> интервал: 1310 - 1410°C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val="ru-RU"/>
              </w:rPr>
            </w:r>
          </w:p>
          <w:p w14:paraId="1F082D6B">
            <w:pPr>
              <w:pStyle w:val="737"/>
              <w:numPr>
                <w:ilvl w:val="0"/>
                <w:numId w:val="24"/>
              </w:numPr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val="ru-RU"/>
              </w:rPr>
              <w:t xml:space="preserve">Температура предварительного подогрева: 850 - 950°C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val="ru-RU"/>
              </w:rPr>
            </w:r>
          </w:p>
          <w:p w14:paraId="64B30582">
            <w:pPr>
              <w:pStyle w:val="737"/>
              <w:numPr>
                <w:ilvl w:val="0"/>
                <w:numId w:val="24"/>
              </w:numPr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val="ru-RU"/>
              </w:rPr>
              <w:t xml:space="preserve">Температура литья: 1510 - 1560°C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val="ru-RU"/>
              </w:rPr>
            </w:r>
          </w:p>
          <w:p w14:paraId="457CC47D">
            <w:pPr>
              <w:pStyle w:val="737"/>
              <w:numPr>
                <w:ilvl w:val="0"/>
                <w:numId w:val="24"/>
              </w:numPr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val="ru-RU"/>
              </w:rPr>
              <w:t xml:space="preserve">Коэффициент теплового расширения (20-600°C): 14,0 x 10⁻⁶K⁻¹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val="ru-RU"/>
              </w:rPr>
            </w:r>
          </w:p>
          <w:p w14:paraId="539C52E4">
            <w:pPr>
              <w:pStyle w:val="737"/>
              <w:numPr>
                <w:ilvl w:val="0"/>
                <w:numId w:val="24"/>
              </w:numPr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val="ru-RU"/>
              </w:rPr>
              <w:t xml:space="preserve">Возможность лазерной сварки: Да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val="ru-RU"/>
              </w:rPr>
            </w:r>
          </w:p>
          <w:p w14:paraId="2CC17A74">
            <w:pPr>
              <w:pStyle w:val="737"/>
              <w:numPr>
                <w:ilvl w:val="0"/>
                <w:numId w:val="24"/>
              </w:numPr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val="ru-RU"/>
              </w:rPr>
              <w:t xml:space="preserve">Тип (DIN EN ISO 22674): 3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val="ru-RU"/>
              </w:rPr>
            </w:r>
          </w:p>
          <w:p w14:paraId="5F571940">
            <w:pPr>
              <w:pStyle w:val="737"/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</w:tc>
      </w:tr>
      <w:tr>
        <w:trPr>
          <w:trHeight w:val="296"/>
        </w:trPr>
        <w:tc>
          <w:tcPr>
            <w:tcBorders/>
            <w:tcW w:w="709" w:type="dxa"/>
            <w:textDirection w:val="lrTb"/>
            <w:noWrap w:val="false"/>
          </w:tcPr>
          <w:p w14:paraId="540CA5CE">
            <w:pPr>
              <w:numPr>
                <w:ilvl w:val="0"/>
                <w:numId w:val="23"/>
              </w:numPr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 w14:paraId="45F3B142">
            <w:pPr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Диски отрезные армированные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Dynex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 40х0,5мм (20шт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  <w:p w14:paraId="39A43F99">
            <w:pPr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  <w:p w14:paraId="684E1A28">
            <w:pPr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9" w:type="dxa"/>
            <w:textDirection w:val="lrTb"/>
            <w:noWrap w:val="false"/>
          </w:tcPr>
          <w:p w14:paraId="31F50915">
            <w:pPr>
              <w:pBdr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шт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9" w:type="dxa"/>
            <w:textDirection w:val="lrTb"/>
            <w:noWrap w:val="false"/>
          </w:tcPr>
          <w:p w14:paraId="53A0CDAD">
            <w:pPr>
              <w:pBdr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 w14:paraId="6B0EA64B">
            <w:pPr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highlight w:val="yellow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 w14:paraId="6B678FE9">
            <w:pPr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 w14:paraId="7E241FFF">
            <w:pPr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Dynex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 - отрезные и шлифовальные диски для сплавов на основе неблагородных металлов и сплавов для модельного литья.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br/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br/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Описание: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br/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  <w:p w14:paraId="1296AD0C">
            <w:pPr>
              <w:numPr>
                <w:ilvl w:val="0"/>
                <w:numId w:val="27"/>
              </w:numPr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Чрезвычайно прочные, армированные стекловолокном диски предназначены специально для резки, шлифования и обработки сплавов для модельного литья, сплавов на основе неблагородных металлов и надрезания опок после прессования керамики.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  <w:p w14:paraId="1B6C92EF">
            <w:pPr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</w:tc>
      </w:tr>
      <w:tr>
        <w:trPr>
          <w:trHeight w:val="296"/>
        </w:trPr>
        <w:tc>
          <w:tcPr>
            <w:tcBorders/>
            <w:tcW w:w="709" w:type="dxa"/>
            <w:textDirection w:val="lrTb"/>
            <w:noWrap w:val="false"/>
          </w:tcPr>
          <w:p w14:paraId="30771112">
            <w:pPr>
              <w:numPr>
                <w:ilvl w:val="0"/>
                <w:numId w:val="23"/>
              </w:numPr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 w14:paraId="2CB9CD59">
            <w:pPr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Диски отрезные армированные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Dynex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22х0,3мм (20шт.),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Renfert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  <w:p w14:paraId="0DCDA722">
            <w:pPr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9" w:type="dxa"/>
            <w:textDirection w:val="lrTb"/>
            <w:noWrap w:val="false"/>
          </w:tcPr>
          <w:p w14:paraId="1E3F1EBD">
            <w:pPr>
              <w:pBdr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шт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9" w:type="dxa"/>
            <w:textDirection w:val="lrTb"/>
            <w:noWrap w:val="false"/>
          </w:tcPr>
          <w:p w14:paraId="3A38F5D3">
            <w:pPr>
              <w:pBdr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 w14:paraId="68685021">
            <w:pPr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highlight w:val="yellow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 w14:paraId="16C9DF70">
            <w:pPr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 w14:paraId="7EBC37C0">
            <w:pPr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Описание: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br/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  <w:p w14:paraId="207E40AD">
            <w:pPr>
              <w:numPr>
                <w:ilvl w:val="0"/>
                <w:numId w:val="28"/>
              </w:numPr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Эластичные и прочные, армированные стекловолокном отрезные и шлифовальные диски.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  <w:p w14:paraId="20C6F2FC">
            <w:pPr>
              <w:numPr>
                <w:ilvl w:val="0"/>
                <w:numId w:val="28"/>
              </w:numPr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Специально для сплавов на основе благородных и неблагородных металлов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  <w:p w14:paraId="277EE24F">
            <w:pPr>
              <w:numPr>
                <w:ilvl w:val="0"/>
                <w:numId w:val="28"/>
              </w:numPr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Подходят для резки и обработки толстых литников (&lt; 5 мм) и малых частей работы.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  <w:p w14:paraId="077BE401">
            <w:pPr>
              <w:numPr>
                <w:ilvl w:val="0"/>
                <w:numId w:val="28"/>
              </w:numPr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Макс. число оборотов - 50 000 об/мин 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  <w:p w14:paraId="7BDD96B7">
            <w:pPr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</w:tc>
      </w:tr>
      <w:tr>
        <w:trPr>
          <w:trHeight w:val="296"/>
        </w:trPr>
        <w:tc>
          <w:tcPr>
            <w:tcBorders/>
            <w:tcW w:w="709" w:type="dxa"/>
            <w:textDirection w:val="lrTb"/>
            <w:noWrap w:val="false"/>
          </w:tcPr>
          <w:p w14:paraId="5A55F7FB">
            <w:pPr>
              <w:numPr>
                <w:ilvl w:val="0"/>
                <w:numId w:val="23"/>
              </w:numPr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 w14:paraId="6A534049">
            <w:pPr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Воск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моделировочный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Лавакс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 (20г), Стома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  <w:p w14:paraId="53C72C5A">
            <w:pPr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9" w:type="dxa"/>
            <w:textDirection w:val="lrTb"/>
            <w:noWrap w:val="false"/>
          </w:tcPr>
          <w:p w14:paraId="6AD14781">
            <w:pPr>
              <w:pBdr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уп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9" w:type="dxa"/>
            <w:textDirection w:val="lrTb"/>
            <w:noWrap w:val="false"/>
          </w:tcPr>
          <w:p w14:paraId="09503969">
            <w:pPr>
              <w:pBdr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20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 w14:paraId="1941C7EE">
            <w:pPr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highlight w:val="yellow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 w14:paraId="45AA27A5">
            <w:pPr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 w14:paraId="40F64FAF">
            <w:pPr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Преимущества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Лавакса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br/>
              <w:t xml:space="preserve">Воск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Лавакс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 легко размягчается, даёт сухую и невязкую стружку, хорошо формуется. Маленькая зольность- не более 0,1%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br/>
              <w:t xml:space="preserve">Инструкция по применению воска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Лавакс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br/>
              <w:t xml:space="preserve">-Размягчить палочку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Лавакса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 над пламенем горелки, при этом не допустить растекания.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br/>
              <w:t xml:space="preserve">-Обжать пальцами размягчённый воск и приступить к моделированию.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Лавакс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 моделируется при помощи любых зуботехнических инструментов.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br/>
              <w:t xml:space="preserve">Форма поставки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Лавакса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br/>
              <w:t xml:space="preserve">воск брусочками, упаковка 20г.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</w:tc>
      </w:tr>
      <w:tr>
        <w:trPr>
          <w:trHeight w:val="296"/>
        </w:trPr>
        <w:tc>
          <w:tcPr>
            <w:tcBorders/>
            <w:tcW w:w="709" w:type="dxa"/>
            <w:textDirection w:val="lrTb"/>
            <w:noWrap w:val="false"/>
          </w:tcPr>
          <w:p w14:paraId="72FF1851">
            <w:pPr>
              <w:numPr>
                <w:ilvl w:val="0"/>
                <w:numId w:val="23"/>
              </w:numPr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 w14:paraId="539A8E8C">
            <w:pPr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Elite LC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Tray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 пластины для изготовления индивидуальных ложек, цвет синий, 50 шт.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  <w:p w14:paraId="75220183">
            <w:pPr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9" w:type="dxa"/>
            <w:textDirection w:val="lrTb"/>
            <w:noWrap w:val="false"/>
          </w:tcPr>
          <w:p w14:paraId="58F15082">
            <w:pPr>
              <w:pBdr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уп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9" w:type="dxa"/>
            <w:textDirection w:val="lrTb"/>
            <w:noWrap w:val="false"/>
          </w:tcPr>
          <w:p w14:paraId="48E615AE">
            <w:pPr>
              <w:pBdr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 w14:paraId="4E464BD1">
            <w:pPr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highlight w:val="yellow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 w14:paraId="1EB09731">
            <w:pPr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 w14:paraId="13ECC51E">
            <w:pPr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Характеристики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  <w:p w14:paraId="5CDC7A9A">
            <w:pPr>
              <w:numPr>
                <w:ilvl w:val="0"/>
                <w:numId w:val="35"/>
              </w:numPr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Полимеризация с помощью галогеновой или ультрафиолетовой лампы (3 - 5 минут)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  <w:p w14:paraId="17F0F6B1">
            <w:pPr>
              <w:numPr>
                <w:ilvl w:val="0"/>
                <w:numId w:val="35"/>
              </w:numPr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Доступно в трех цветовых решениях: белый, розовый и голубой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  <w:p w14:paraId="43B5E111">
            <w:pPr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Технические данные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  <w:p w14:paraId="4DBBC333">
            <w:pPr>
              <w:numPr>
                <w:ilvl w:val="0"/>
                <w:numId w:val="36"/>
              </w:numPr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Время схватывания: 3' - 5'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  <w:p w14:paraId="60276EDC">
            <w:pPr>
              <w:numPr>
                <w:ilvl w:val="0"/>
                <w:numId w:val="36"/>
              </w:numPr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Толщина: 2.5 мм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  <w:p w14:paraId="462D65D7">
            <w:pPr>
              <w:numPr>
                <w:ilvl w:val="0"/>
                <w:numId w:val="36"/>
              </w:numPr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Твердость 1’ (Шор-D): 80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  <w:p w14:paraId="10562E6C">
            <w:pPr>
              <w:numPr>
                <w:ilvl w:val="0"/>
                <w:numId w:val="36"/>
              </w:numPr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Цвет: синий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  <w:p w14:paraId="7497AD45">
            <w:pPr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</w:tc>
      </w:tr>
      <w:tr>
        <w:trPr>
          <w:trHeight w:val="5111"/>
        </w:trPr>
        <w:tc>
          <w:tcPr>
            <w:tcBorders/>
            <w:tcW w:w="709" w:type="dxa"/>
            <w:textDirection w:val="lrTb"/>
            <w:noWrap w:val="false"/>
          </w:tcPr>
          <w:p w14:paraId="3F90F910">
            <w:pPr>
              <w:numPr>
                <w:ilvl w:val="0"/>
                <w:numId w:val="23"/>
              </w:numPr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 w14:paraId="3EA2CF34">
            <w:pPr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Воск зуботехнический базисный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u w:val="single"/>
              </w:rPr>
              <w:t xml:space="preserve">ТВЁРДЫЙ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 500г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  <w:p w14:paraId="39334439">
            <w:pPr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(ЛИГАДЕНТ)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highlight w:val="yellow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9" w:type="dxa"/>
            <w:textDirection w:val="lrTb"/>
            <w:noWrap w:val="false"/>
          </w:tcPr>
          <w:p w14:paraId="5A09E9C7">
            <w:pPr>
              <w:pBdr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уп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9" w:type="dxa"/>
            <w:textDirection w:val="lrTb"/>
            <w:noWrap w:val="false"/>
          </w:tcPr>
          <w:p w14:paraId="3295095B">
            <w:pPr>
              <w:pBdr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  <w:p w14:paraId="2871F0BF">
            <w:pPr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  <w:p w14:paraId="58734085">
            <w:pPr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  <w:p w14:paraId="5B0D9256">
            <w:pPr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  <w:p w14:paraId="792E91F4">
            <w:pPr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  <w:p w14:paraId="2A80BB11">
            <w:pPr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  <w:p w14:paraId="7B45B151">
            <w:pPr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  <w:p w14:paraId="33E12CFF">
            <w:pPr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  <w:p w14:paraId="1AA75ED1">
            <w:pPr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  <w:p w14:paraId="501EC3F2">
            <w:pPr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  <w:p w14:paraId="241819DD">
            <w:pPr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  <w:p w14:paraId="3C242690">
            <w:pPr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  <w:p w14:paraId="585BC780">
            <w:pPr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  <w:p w14:paraId="0AE497DD">
            <w:pPr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  <w:p w14:paraId="38D5D3D4">
            <w:pPr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  <w:p w14:paraId="63E18EA3">
            <w:pPr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  <w:p w14:paraId="4D230D2C">
            <w:pPr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  <w:p w14:paraId="15CB6476">
            <w:pPr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  <w:p w14:paraId="4A856624">
            <w:pPr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  <w:p w14:paraId="636BA378">
            <w:pPr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  <w:p w14:paraId="7BD5ACA4">
            <w:pPr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  <w:p w14:paraId="6515E2FB">
            <w:pPr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  <w:p w14:paraId="563AA091">
            <w:pPr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  <w:p w14:paraId="36CEBD0B">
            <w:pPr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  <w:p w14:paraId="4E90CE5C">
            <w:pPr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  <w:p w14:paraId="747B8918">
            <w:pPr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  <w:p w14:paraId="4A0CC5E1">
            <w:pPr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  <w:p w14:paraId="56FDAED1">
            <w:pPr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  <w:p w14:paraId="03CB2D3E">
            <w:pPr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  <w:p w14:paraId="055F2CA0">
            <w:pPr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  <w:p w14:paraId="478D5F82">
            <w:pPr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  <w:p w14:paraId="03767783">
            <w:pPr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  <w:p w14:paraId="55D6EB22">
            <w:pPr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  <w:p w14:paraId="46BE9720">
            <w:pPr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  <w:p w14:paraId="11F04F05">
            <w:pPr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  <w:p w14:paraId="025609AA">
            <w:pPr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  <w:p w14:paraId="724651C3">
            <w:pPr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  <w:p w14:paraId="212DD1A2">
            <w:pPr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  <w:p w14:paraId="07F883A9">
            <w:pPr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  <w:p w14:paraId="6D36D297">
            <w:pPr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  <w:p w14:paraId="7450DF3D">
            <w:pPr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  <w:p w14:paraId="253DB378">
            <w:pPr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  <w:p w14:paraId="46C8C52F">
            <w:pPr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  <w:p w14:paraId="326E8BA3">
            <w:pPr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  <w:p w14:paraId="2DBA9CB2">
            <w:pPr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  <w:p w14:paraId="1A5E1B0B">
            <w:pPr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  <w:p w14:paraId="467F27E3">
            <w:pPr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  <w:p w14:paraId="4AECF42D">
            <w:pPr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  <w:p w14:paraId="0E2BF305">
            <w:pPr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  <w:p w14:paraId="70914168">
            <w:pPr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  <w:p w14:paraId="25DE2CB6">
            <w:pPr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  <w:p w14:paraId="694A1378">
            <w:pPr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  <w:p w14:paraId="3A9849EC">
            <w:pPr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  <w:p w14:paraId="287E62F7">
            <w:pPr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  <w:p w14:paraId="3E59B759">
            <w:pPr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  <w:p w14:paraId="3AB8C859">
            <w:pPr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  <w:p w14:paraId="1C41F031">
            <w:pPr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  <w:p w14:paraId="05604A47">
            <w:pPr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  <w:p w14:paraId="3943E240">
            <w:pPr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  <w:p w14:paraId="625EF1BC">
            <w:pPr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  <w:p w14:paraId="22C7E1F3">
            <w:pPr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  <w:p w14:paraId="3848DEF1">
            <w:pPr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 w14:paraId="7ABFB6A9">
            <w:pPr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highlight w:val="yellow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 w14:paraId="66484340">
            <w:pPr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 w14:paraId="180C8A78">
            <w:pPr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Парафино-церезиновый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 сплав с модифицированными добавками для моделирования базисов съемных протезов, изготовления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прикусных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 шаблонов с окклюзионными валиками,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</w:tc>
      </w:tr>
      <w:tr>
        <w:trPr>
          <w:trHeight w:val="296"/>
        </w:trPr>
        <w:tc>
          <w:tcPr>
            <w:tcBorders/>
            <w:tcW w:w="709" w:type="dxa"/>
            <w:textDirection w:val="lrTb"/>
            <w:noWrap w:val="false"/>
          </w:tcPr>
          <w:p w14:paraId="03122B3C">
            <w:pPr>
              <w:numPr>
                <w:ilvl w:val="0"/>
                <w:numId w:val="23"/>
              </w:numPr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 w14:paraId="6A868F74">
            <w:pPr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WiroFine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 паковочная масса, порошок, 18 кг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  <w:p w14:paraId="6A6065F8">
            <w:pPr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br/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  <w:p w14:paraId="2FD0F85E">
            <w:pPr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9" w:type="dxa"/>
            <w:textDirection w:val="lrTb"/>
            <w:noWrap w:val="false"/>
          </w:tcPr>
          <w:p w14:paraId="7C871738">
            <w:pPr>
              <w:pBdr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уп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9" w:type="dxa"/>
            <w:textDirection w:val="lrTb"/>
            <w:noWrap w:val="false"/>
          </w:tcPr>
          <w:p w14:paraId="589843DB">
            <w:pPr>
              <w:pBdr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 w14:paraId="2DC32AEE">
            <w:pPr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highlight w:val="yellow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 w14:paraId="71CC9225">
            <w:pPr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 w14:paraId="0CACEF3A">
            <w:pPr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WiroFine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 (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Вирофайн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) - универсальная паковочная масса для бюгелей</w:t>
            </w:r>
            <w:hyperlink r:id="rId10" w:tooltip="https://axiomadent.ru/" w:history="1">
              <w:r>
                <w:rPr>
                  <w:rStyle w:val="721"/>
                  <w:rFonts w:ascii="Times New Roman" w:hAnsi="Times New Roman" w:eastAsia="Times New Roman" w:cs="Times New Roman"/>
                  <w:b w:val="0"/>
                  <w:bCs w:val="0"/>
                  <w:sz w:val="20"/>
                  <w:szCs w:val="20"/>
                </w:rPr>
                <w:t xml:space="preserve">.</w:t>
              </w:r>
            </w:hyperlink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 Шоковый и традиционный методы нагрева. Максимальная температура прокаливания 1050 градусов C. Высокопрочная, подходит для комбинированных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работ. Замешивается с жидкостями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BegoSol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 K и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BegoSol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 (морозоустойчивая, только для традиционного метода). Разбавляется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Begosol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 K.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  <w:p w14:paraId="0BD120CE">
            <w:pPr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Характеристики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  <w:p w14:paraId="0E92F613">
            <w:pPr>
              <w:numPr>
                <w:ilvl w:val="0"/>
                <w:numId w:val="26"/>
              </w:numPr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Тип: порошок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  <w:p w14:paraId="10F4852B">
            <w:pPr>
              <w:numPr>
                <w:ilvl w:val="0"/>
                <w:numId w:val="26"/>
              </w:numPr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Масса: 18 кг, 45 пакетов по 400 г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  <w:p w14:paraId="2E870461">
            <w:pPr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val="en-US"/>
              </w:rPr>
              <w:t xml:space="preserve">0.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val="en-US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val="en-US"/>
              </w:rPr>
            </w:r>
          </w:p>
        </w:tc>
      </w:tr>
      <w:tr>
        <w:trPr>
          <w:trHeight w:val="296"/>
        </w:trPr>
        <w:tc>
          <w:tcPr>
            <w:tcBorders/>
            <w:tcW w:w="709" w:type="dxa"/>
            <w:textDirection w:val="lrTb"/>
            <w:noWrap w:val="false"/>
          </w:tcPr>
          <w:p w14:paraId="2AAB0382">
            <w:pPr>
              <w:numPr>
                <w:ilvl w:val="0"/>
                <w:numId w:val="23"/>
              </w:numPr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 w14:paraId="4CEE430A">
            <w:pPr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br/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BegoSol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 K жидкость для паковочной массы, 1 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9" w:type="dxa"/>
            <w:textDirection w:val="lrTb"/>
            <w:noWrap w:val="false"/>
          </w:tcPr>
          <w:p w14:paraId="666D83D2">
            <w:pPr>
              <w:pBdr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шт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9" w:type="dxa"/>
            <w:textDirection w:val="lrTb"/>
            <w:noWrap w:val="false"/>
          </w:tcPr>
          <w:p w14:paraId="3C568747">
            <w:pPr>
              <w:pBdr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 w14:paraId="7A887608">
            <w:pPr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highlight w:val="yellow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 w14:paraId="31EA505A">
            <w:pPr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 w14:paraId="644666DE">
            <w:pPr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BegoSol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 K - жидкость для замешивания (чувствительна к морозу)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Bellastar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BellaCer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instrText xml:space="preserve">HYPERLINK "https://axiomadent.ru/"</w:instrTex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fldChar w:fldCharType="separate"/>
            </w:r>
            <w:r>
              <w:rPr>
                <w:rStyle w:val="721"/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 В зависимости от типа сплава и области применения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БегоСол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 может быть замешан с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дистилированной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 водой в соответствии с необходимой концентрацией. Чем выше концентрация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БегоСола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, НЕ или К, тем выше коэффициент расширения паковочного материала.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  <w:p w14:paraId="7BC3DF4A">
            <w:pPr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Характеристики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  <w:p w14:paraId="38F0BA4E">
            <w:pPr>
              <w:numPr>
                <w:ilvl w:val="0"/>
                <w:numId w:val="25"/>
              </w:numPr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Тип: жидкость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  <w:p w14:paraId="58A1A537">
            <w:pPr>
              <w:numPr>
                <w:ilvl w:val="0"/>
                <w:numId w:val="25"/>
              </w:numPr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Объем: 1 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  <w:p w14:paraId="3B946FB7">
            <w:pPr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</w:tc>
      </w:tr>
      <w:tr>
        <w:trPr>
          <w:trHeight w:val="296"/>
        </w:trPr>
        <w:tc>
          <w:tcPr>
            <w:tcBorders/>
            <w:tcW w:w="709" w:type="dxa"/>
            <w:textDirection w:val="lrTb"/>
            <w:noWrap w:val="false"/>
          </w:tcPr>
          <w:p w14:paraId="30878463">
            <w:pPr>
              <w:numPr>
                <w:ilvl w:val="0"/>
                <w:numId w:val="23"/>
              </w:numPr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 w14:paraId="2F7C4725">
            <w:pPr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Восковая проволока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  <w:lang w:val="en-US"/>
              </w:rPr>
              <w:t xml:space="preserve">GEO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 бирюзовая твердая,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4.0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мм, 250 г.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  <w:highlight w:val="cya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eastAsia="ar-SA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9" w:type="dxa"/>
            <w:textDirection w:val="lrTb"/>
            <w:noWrap w:val="false"/>
          </w:tcPr>
          <w:p w14:paraId="5E36F9BE">
            <w:pPr>
              <w:pBdr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шт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9" w:type="dxa"/>
            <w:textDirection w:val="lrTb"/>
            <w:noWrap w:val="false"/>
          </w:tcPr>
          <w:p w14:paraId="451290E9">
            <w:pPr>
              <w:pBdr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 w14:paraId="186D21D0">
            <w:pPr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highlight w:val="yellow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 w14:paraId="6B7B6B97">
            <w:pPr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 w14:paraId="65623C3B">
            <w:pPr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Восковая проволока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Renfert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 Geo, бирюзовая, диаметр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4.0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 мм, повышенной твердости, бирюзовая,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  <w:p w14:paraId="5DA6D956">
            <w:pPr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Диаметр: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4.0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 мм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  <w:p w14:paraId="481891E1">
            <w:pPr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Жесткость: твердая;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  <w:p w14:paraId="5A58639F">
            <w:pPr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Цвет: бирюзовая.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</w:tc>
      </w:tr>
      <w:tr>
        <w:trPr>
          <w:trHeight w:val="296"/>
        </w:trPr>
        <w:tc>
          <w:tcPr>
            <w:tcBorders/>
            <w:tcW w:w="709" w:type="dxa"/>
            <w:textDirection w:val="lrTb"/>
            <w:noWrap w:val="false"/>
          </w:tcPr>
          <w:p w14:paraId="5BC2520F">
            <w:pPr>
              <w:numPr>
                <w:ilvl w:val="0"/>
                <w:numId w:val="23"/>
              </w:numPr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 w14:paraId="27BF7D1D">
            <w:pPr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Evidsun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Acetal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 материал полимерный базисный, цвет A3, 100 г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  <w:p w14:paraId="56F16807">
            <w:pPr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  <w:p w14:paraId="2D16E6B8">
            <w:pPr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9" w:type="dxa"/>
            <w:textDirection w:val="lrTb"/>
            <w:noWrap w:val="false"/>
          </w:tcPr>
          <w:p w14:paraId="3BAFFB6C">
            <w:pPr>
              <w:pBdr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шт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9" w:type="dxa"/>
            <w:textDirection w:val="lrTb"/>
            <w:noWrap w:val="false"/>
          </w:tcPr>
          <w:p w14:paraId="714EF9C7">
            <w:pPr>
              <w:pBdr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 w14:paraId="4187C57A">
            <w:pPr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highlight w:val="yellow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 w14:paraId="0E59530D">
            <w:pPr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 w14:paraId="4AB64B64">
            <w:pPr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br/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Evidsun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Acetal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 материал полимерный базисный цвет A3, является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полиацеталем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, предназначенным для изготовления коронок, кламмеров и каркасов съемных зубных протезов</w:t>
            </w:r>
            <w:hyperlink r:id="rId11" w:tooltip="https://axiomadent.ru/" w:history="1">
              <w:r>
                <w:rPr>
                  <w:rStyle w:val="721"/>
                  <w:rFonts w:ascii="Times New Roman" w:hAnsi="Times New Roman" w:eastAsia="Times New Roman" w:cs="Times New Roman"/>
                  <w:b w:val="0"/>
                  <w:bCs w:val="0"/>
                  <w:sz w:val="20"/>
                  <w:szCs w:val="20"/>
                </w:rPr>
                <w:t xml:space="preserve">.</w:t>
              </w:r>
            </w:hyperlink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 Материал окрашивается по расцветке VITA, а также имеет 3 десневых оттенка</w:t>
            </w:r>
            <w:hyperlink r:id="rId12" w:tooltip="https://axiomadent.ru/" w:history="1">
              <w:r>
                <w:rPr>
                  <w:rStyle w:val="721"/>
                  <w:rFonts w:ascii="Times New Roman" w:hAnsi="Times New Roman" w:eastAsia="Times New Roman" w:cs="Times New Roman"/>
                  <w:b w:val="0"/>
                  <w:bCs w:val="0"/>
                  <w:sz w:val="20"/>
                  <w:szCs w:val="20"/>
                </w:rPr>
                <w:t xml:space="preserve">.</w:t>
              </w:r>
            </w:hyperlink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  <w:p w14:paraId="072F4476">
            <w:pPr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Характеристики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  <w:p w14:paraId="16B14BB6">
            <w:pPr>
              <w:numPr>
                <w:ilvl w:val="0"/>
                <w:numId w:val="34"/>
              </w:numPr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Цвет: A3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  <w:p w14:paraId="134BD505">
            <w:pPr>
              <w:numPr>
                <w:ilvl w:val="0"/>
                <w:numId w:val="34"/>
              </w:numPr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Масса: 100 г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  <w:p w14:paraId="1F590435">
            <w:pPr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val="en-US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val="en-US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val="en-US"/>
              </w:rPr>
            </w:r>
          </w:p>
          <w:p w14:paraId="221A325C">
            <w:pPr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</w:tc>
      </w:tr>
      <w:tr>
        <w:trPr>
          <w:trHeight w:val="296"/>
        </w:trPr>
        <w:tc>
          <w:tcPr>
            <w:tcBorders/>
            <w:tcW w:w="709" w:type="dxa"/>
            <w:textDirection w:val="lrTb"/>
            <w:noWrap w:val="false"/>
          </w:tcPr>
          <w:p w14:paraId="2B212DEF">
            <w:pPr>
              <w:numPr>
                <w:ilvl w:val="0"/>
                <w:numId w:val="23"/>
              </w:numPr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 w14:paraId="687234D1">
            <w:pPr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lightGray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highlight w:val="lightGray"/>
                <w:lang w:eastAsia="ar-SA"/>
              </w:rPr>
              <w:br/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highlight w:val="lightGray"/>
                <w:lang w:eastAsia="ar-SA"/>
              </w:rPr>
              <w:t xml:space="preserve">Уницем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highlight w:val="lightGray"/>
                <w:lang w:eastAsia="ar-SA"/>
              </w:rPr>
              <w:t xml:space="preserve"> универсальный цемент для фиксации, цвет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highlight w:val="lightGray"/>
                <w:lang w:eastAsia="ar-SA"/>
              </w:rPr>
              <w:t xml:space="preserve">cветло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highlight w:val="lightGray"/>
                <w:lang w:eastAsia="ar-SA"/>
              </w:rPr>
              <w:t xml:space="preserve">-желтый, 100 г + 60 г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highlight w:val="lightGray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highlight w:val="lightGray"/>
                <w:lang w:eastAsia="ar-SA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9" w:type="dxa"/>
            <w:textDirection w:val="lrTb"/>
            <w:noWrap w:val="false"/>
          </w:tcPr>
          <w:p w14:paraId="513C91FD">
            <w:pPr>
              <w:pBdr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lightGray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highlight w:val="lightGray"/>
              </w:rPr>
              <w:t xml:space="preserve">уп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highlight w:val="lightGray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highlight w:val="lightGray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9" w:type="dxa"/>
            <w:textDirection w:val="lrTb"/>
            <w:noWrap w:val="false"/>
          </w:tcPr>
          <w:p w14:paraId="781EFBFF">
            <w:pPr>
              <w:pBdr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lightGray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highlight w:val="lightGray"/>
              </w:rPr>
              <w:t xml:space="preserve">20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highlight w:val="lightGray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highlight w:val="lightGray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 w14:paraId="2752CD55">
            <w:pPr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lightGray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highlight w:val="lightGray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highlight w:val="lightGray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highlight w:val="lightGray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 w14:paraId="78D7DADB">
            <w:pPr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lightGray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highlight w:val="lightGray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highlight w:val="lightGray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highlight w:val="lightGray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 w14:paraId="601923E4">
            <w:pPr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lightGray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highlight w:val="lightGray"/>
                <w:shd w:val="clear" w:color="auto" w:fill="ffffff"/>
              </w:rPr>
              <w:t xml:space="preserve">Уницем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highlight w:val="lightGray"/>
                <w:shd w:val="clear" w:color="auto" w:fill="ffffff"/>
              </w:rPr>
              <w:t xml:space="preserve"> универсальный  цемент для фиксации,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highlight w:val="lightGray"/>
                <w:shd w:val="clear" w:color="auto" w:fill="ffffff"/>
              </w:rPr>
              <w:t xml:space="preserve">cветло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highlight w:val="lightGray"/>
                <w:shd w:val="clear" w:color="auto" w:fill="ffffff"/>
              </w:rPr>
              <w:t xml:space="preserve">-желтый, 100 г + 60 г, назначение: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highlight w:val="lightGray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highlight w:val="lightGray"/>
                <w:shd w:val="clear" w:color="auto" w:fill="ffffff"/>
              </w:rPr>
            </w:r>
          </w:p>
          <w:p w14:paraId="43726D93">
            <w:pPr>
              <w:numPr>
                <w:ilvl w:val="0"/>
                <w:numId w:val="30"/>
              </w:numPr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lightGray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highlight w:val="lightGray"/>
                <w:shd w:val="clear" w:color="auto" w:fill="ffffff"/>
              </w:rPr>
              <w:t xml:space="preserve">фиксация вкладок, штифтовых зубов, металлических, пластмассовых, фарфоровых, металлокерамических коронок и мостовидных протезов;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highlight w:val="lightGray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highlight w:val="lightGray"/>
                <w:shd w:val="clear" w:color="auto" w:fill="ffffff"/>
              </w:rPr>
            </w:r>
          </w:p>
          <w:p w14:paraId="56E355EB">
            <w:pPr>
              <w:numPr>
                <w:ilvl w:val="0"/>
                <w:numId w:val="30"/>
              </w:numPr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lightGray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highlight w:val="lightGray"/>
                <w:shd w:val="clear" w:color="auto" w:fill="ffffff"/>
              </w:rPr>
              <w:t xml:space="preserve">пломбирование зубов, подлежащих закрытию коронками;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highlight w:val="lightGray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highlight w:val="lightGray"/>
                <w:shd w:val="clear" w:color="auto" w:fill="ffffff"/>
              </w:rPr>
            </w:r>
          </w:p>
          <w:p w14:paraId="1C4F8A13">
            <w:pPr>
              <w:numPr>
                <w:ilvl w:val="0"/>
                <w:numId w:val="30"/>
              </w:numPr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lightGray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highlight w:val="lightGray"/>
                <w:shd w:val="clear" w:color="auto" w:fill="ffffff"/>
              </w:rPr>
              <w:t xml:space="preserve">изолирующая прокладка при пломбировании зубов</w:t>
            </w:r>
            <w:hyperlink r:id="rId13" w:tooltip="https://axiomadent.ru/" w:history="1">
              <w:r>
                <w:rPr>
                  <w:rStyle w:val="721"/>
                  <w:rFonts w:ascii="Times New Roman" w:hAnsi="Times New Roman" w:eastAsia="Times New Roman" w:cs="Times New Roman"/>
                  <w:b w:val="0"/>
                  <w:bCs w:val="0"/>
                  <w:sz w:val="20"/>
                  <w:szCs w:val="20"/>
                  <w:highlight w:val="lightGray"/>
                  <w:shd w:val="clear" w:color="auto" w:fill="ffffff"/>
                </w:rPr>
                <w:t xml:space="preserve">.</w:t>
              </w:r>
            </w:hyperlink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highlight w:val="lightGray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highlight w:val="lightGray"/>
                <w:shd w:val="clear" w:color="auto" w:fill="ffffff"/>
              </w:rPr>
            </w:r>
          </w:p>
          <w:p w14:paraId="44DC5B1C">
            <w:pPr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lightGray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highlight w:val="lightGray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highlight w:val="lightGray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highlight w:val="lightGray"/>
                <w:shd w:val="clear" w:color="auto" w:fill="ffffff"/>
              </w:rPr>
            </w:r>
          </w:p>
        </w:tc>
      </w:tr>
      <w:tr>
        <w:trPr>
          <w:trHeight w:val="296"/>
        </w:trPr>
        <w:tc>
          <w:tcPr>
            <w:tcBorders/>
            <w:tcW w:w="709" w:type="dxa"/>
            <w:textDirection w:val="lrTb"/>
            <w:noWrap w:val="false"/>
          </w:tcPr>
          <w:p w14:paraId="4455C64A">
            <w:pPr>
              <w:numPr>
                <w:ilvl w:val="0"/>
                <w:numId w:val="23"/>
              </w:numPr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 w14:paraId="0E568FA2">
            <w:pPr>
              <w:pBdr/>
              <w:tabs>
                <w:tab w:val="left" w:leader="none" w:pos="7350"/>
              </w:tabs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Песок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Эур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-мед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Денталдепо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 ДЕНЕСТ 25А F8 (фракция 250-200 мкм) 5 кг пакет.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9" w:type="dxa"/>
            <w:textDirection w:val="lrTb"/>
            <w:noWrap w:val="false"/>
          </w:tcPr>
          <w:p w14:paraId="59096A88">
            <w:pPr>
              <w:pBdr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уп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9" w:type="dxa"/>
            <w:textDirection w:val="lrTb"/>
            <w:noWrap w:val="false"/>
          </w:tcPr>
          <w:p w14:paraId="4540C3EB">
            <w:pPr>
              <w:pBdr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 w14:paraId="77306C05">
            <w:pPr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highlight w:val="yellow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 w14:paraId="13FF0D78">
            <w:pPr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 w14:paraId="703332D4">
            <w:pPr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Песок для пескоструйного аппарата. Особо чистый, белый синтетический абразив на основе оксида алюминия. Не вызывает силикоз.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  <w:p w14:paraId="385FC883">
            <w:pPr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Составная часть оксида алюминия - 99,6% Приготовлен без примесей. Удаление паковочной массы. Удаление излишков керамической массы. Обработка поверхностей благородных и неблагородных сплавов. Подготовка каркасов из неблагородных сплавов перед обжигом 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  <w:p w14:paraId="155A40BA">
            <w:pPr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Упаковка 5 кг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</w:tc>
      </w:tr>
      <w:tr>
        <w:trPr>
          <w:trHeight w:val="296"/>
        </w:trPr>
        <w:tc>
          <w:tcPr>
            <w:tcBorders/>
            <w:tcW w:w="709" w:type="dxa"/>
            <w:textDirection w:val="lrTb"/>
            <w:noWrap w:val="false"/>
          </w:tcPr>
          <w:p w14:paraId="3BF726E7">
            <w:pPr>
              <w:numPr>
                <w:ilvl w:val="0"/>
                <w:numId w:val="23"/>
              </w:numPr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 w14:paraId="56BFF336">
            <w:pPr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Baot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Enamel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 эмаль, цвет E-1B, 50 г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  <w:p w14:paraId="7B2055B7">
            <w:pPr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9" w:type="dxa"/>
            <w:textDirection w:val="lrTb"/>
            <w:noWrap w:val="false"/>
          </w:tcPr>
          <w:p w14:paraId="1573E09A">
            <w:pPr>
              <w:pBdr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шт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9" w:type="dxa"/>
            <w:textDirection w:val="lrTb"/>
            <w:noWrap w:val="false"/>
          </w:tcPr>
          <w:p w14:paraId="328A6C55">
            <w:pPr>
              <w:pBdr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 w14:paraId="5692292E">
            <w:pPr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 w14:paraId="12CFD69C">
            <w:pPr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 w14:paraId="28BB0499">
            <w:pPr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Baot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Enamel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 эмаль, цвет E-1B, используется для создания слоя, который определяет степень прозрачности керамической реставрации.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</w:tc>
      </w:tr>
      <w:tr>
        <w:trPr>
          <w:trHeight w:val="296"/>
        </w:trPr>
        <w:tc>
          <w:tcPr>
            <w:tcBorders/>
            <w:tcW w:w="709" w:type="dxa"/>
            <w:textDirection w:val="lrTb"/>
            <w:noWrap w:val="false"/>
          </w:tcPr>
          <w:p w14:paraId="53C8FAD1">
            <w:pPr>
              <w:numPr>
                <w:ilvl w:val="0"/>
                <w:numId w:val="23"/>
              </w:numPr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 w14:paraId="5352F92E">
            <w:pPr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Металлокерамика дентин JC /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Dentin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 JC A4 15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гр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 BAOT Д15056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  <w:p w14:paraId="2C4B61D1">
            <w:pPr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  <w:p w14:paraId="7CAB0E07">
            <w:pPr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val="en-US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val="en-US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val="en-US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9" w:type="dxa"/>
            <w:textDirection w:val="lrTb"/>
            <w:noWrap w:val="false"/>
          </w:tcPr>
          <w:p w14:paraId="5F844341">
            <w:pPr>
              <w:pBdr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шт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9" w:type="dxa"/>
            <w:textDirection w:val="lrTb"/>
            <w:noWrap w:val="false"/>
          </w:tcPr>
          <w:p w14:paraId="359CF316">
            <w:pPr>
              <w:pBdr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highlight w:val="yellow"/>
                <w:lang w:val="en-US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highlight w:val="yellow"/>
                <w:lang w:val="en-US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 w14:paraId="33EBE456">
            <w:pPr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 w14:paraId="07C46542">
            <w:pPr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 w14:paraId="3A78B2A9">
            <w:pPr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Baot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Dentine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 дентин, цвет A4, используется для создания слоя, который составляет анатомическую основу моделируемого зуба.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</w:tc>
      </w:tr>
      <w:tr>
        <w:trPr>
          <w:trHeight w:val="296"/>
        </w:trPr>
        <w:tc>
          <w:tcPr>
            <w:tcBorders/>
            <w:tcW w:w="709" w:type="dxa"/>
            <w:textDirection w:val="lrTb"/>
            <w:noWrap w:val="false"/>
          </w:tcPr>
          <w:p w14:paraId="1033C447">
            <w:pPr>
              <w:numPr>
                <w:ilvl w:val="0"/>
                <w:numId w:val="23"/>
              </w:numPr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 w14:paraId="4F8DE391">
            <w:pPr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Опак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Дентин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val="en-US"/>
              </w:rPr>
              <w:t xml:space="preserve"> A4 Opaque Dentin 15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гр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val="en-US"/>
              </w:rPr>
              <w:t xml:space="preserve">, BAOT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val="en-US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val="en-US"/>
              </w:rPr>
            </w:r>
          </w:p>
          <w:p w14:paraId="1209E995">
            <w:pPr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val="en-US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val="en-US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val="en-US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9" w:type="dxa"/>
            <w:textDirection w:val="lrTb"/>
            <w:noWrap w:val="false"/>
          </w:tcPr>
          <w:p w14:paraId="59F8B356">
            <w:pPr>
              <w:pBdr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шт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9" w:type="dxa"/>
            <w:textDirection w:val="lrTb"/>
            <w:noWrap w:val="false"/>
          </w:tcPr>
          <w:p w14:paraId="45D7E8CE">
            <w:pPr>
              <w:pBdr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 w14:paraId="54FAEE65">
            <w:pPr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 w14:paraId="536CA6F5">
            <w:pPr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 w14:paraId="79A35A91">
            <w:pPr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Опак дентин предназначен для решения проблемы недостатка места, упрощения применения внутренних красителей и удобства при последующем моделировании анатомической формы реставрации.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br/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br/>
              <w:t xml:space="preserve">Опак дентины занимают по прозрачности промежуточное положение между опаковыми (грунтовыми) и дентинными массами.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</w:tc>
      </w:tr>
      <w:tr>
        <w:trPr>
          <w:trHeight w:val="296"/>
        </w:trPr>
        <w:tc>
          <w:tcPr>
            <w:tcBorders/>
            <w:tcW w:w="709" w:type="dxa"/>
            <w:textDirection w:val="lrTb"/>
            <w:noWrap w:val="false"/>
          </w:tcPr>
          <w:p w14:paraId="7E8E79BE">
            <w:pPr>
              <w:numPr>
                <w:ilvl w:val="0"/>
                <w:numId w:val="23"/>
              </w:numPr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 w14:paraId="6079B63C">
            <w:pPr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Жидкость для опака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Opaque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 Liquid 50 мл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  <w:p w14:paraId="11A367E2">
            <w:pPr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9" w:type="dxa"/>
            <w:textDirection w:val="lrTb"/>
            <w:noWrap w:val="false"/>
          </w:tcPr>
          <w:p w14:paraId="29592697">
            <w:pPr>
              <w:pBdr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шт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9" w:type="dxa"/>
            <w:textDirection w:val="lrTb"/>
            <w:noWrap w:val="false"/>
          </w:tcPr>
          <w:p w14:paraId="3D7F76BA">
            <w:pPr>
              <w:pBdr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 w14:paraId="5FB997C9">
            <w:pPr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 w14:paraId="34BC3DC5">
            <w:pPr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 w14:paraId="2F4AB3D1">
            <w:pPr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Производитель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Baot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 (Китай)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  <w:p w14:paraId="279547F7">
            <w:pPr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Жидкость для разведения глазури и красителей применяется для улучшения технологических свойств керамической массы, упрощения процедуры срезания фарфора при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моделировании, избавления от оползания керамической массы при нанесении и предотвращения изменений расцветки керамического покрытия.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  <w:p w14:paraId="214E7F53">
            <w:pPr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Объем: 50 мл.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  <w:p w14:paraId="6E817AD0">
            <w:pPr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</w:tc>
      </w:tr>
      <w:tr>
        <w:trPr>
          <w:trHeight w:val="296"/>
        </w:trPr>
        <w:tc>
          <w:tcPr>
            <w:tcBorders/>
            <w:tcW w:w="709" w:type="dxa"/>
            <w:textDirection w:val="lrTb"/>
            <w:noWrap w:val="false"/>
          </w:tcPr>
          <w:p w14:paraId="287729DC">
            <w:pPr>
              <w:numPr>
                <w:ilvl w:val="0"/>
                <w:numId w:val="23"/>
              </w:numPr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 w14:paraId="640DEEB4">
            <w:pPr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Опак порошковый A4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Opaque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 JC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Powder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 50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гр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, BAO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  <w:p w14:paraId="63CEB023">
            <w:pPr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9" w:type="dxa"/>
            <w:textDirection w:val="lrTb"/>
            <w:noWrap w:val="false"/>
          </w:tcPr>
          <w:p w14:paraId="6688FA3A">
            <w:pPr>
              <w:pBdr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Шт.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9" w:type="dxa"/>
            <w:textDirection w:val="lrTb"/>
            <w:noWrap w:val="false"/>
          </w:tcPr>
          <w:p w14:paraId="2C3DC77E">
            <w:pPr>
              <w:pBdr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 w14:paraId="661A7B98">
            <w:pPr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 w14:paraId="3FE4D3B6">
            <w:pPr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 w14:paraId="3F9D4ED2">
            <w:pPr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Опак (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Opaque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 JC) обладает матовым оттенком, используется для цветовой адаптации металлического каркаса - к цвету будущей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 реставрации. Особенно опак необходим в случаях, когда места для облицовки ограничено. Среди главных особенностей данного материала можно отметить его способность пропускать световые лучи, отражать их от каркасной основы, которая покрыта окисной мембраной.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</w:tc>
      </w:tr>
      <w:tr>
        <w:trPr>
          <w:trHeight w:val="296"/>
        </w:trPr>
        <w:tc>
          <w:tcPr>
            <w:tcBorders/>
            <w:tcW w:w="709" w:type="dxa"/>
            <w:textDirection w:val="lrTb"/>
            <w:noWrap w:val="false"/>
          </w:tcPr>
          <w:p w14:paraId="66685550">
            <w:pPr>
              <w:numPr>
                <w:ilvl w:val="0"/>
                <w:numId w:val="23"/>
              </w:numPr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 w14:paraId="66FFE068">
            <w:pPr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br/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Siloff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Gum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 Hard десневая маска 70Н, жесткая 2x50 мл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9" w:type="dxa"/>
            <w:textDirection w:val="lrTb"/>
            <w:noWrap w:val="false"/>
          </w:tcPr>
          <w:p w14:paraId="38614AAA">
            <w:pPr>
              <w:pBdr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шт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9" w:type="dxa"/>
            <w:textDirection w:val="lrTb"/>
            <w:noWrap w:val="false"/>
          </w:tcPr>
          <w:p w14:paraId="6FAF377C">
            <w:pPr>
              <w:pBdr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highlight w:val="yellow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 w14:paraId="485B3F3D">
            <w:pPr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 w14:paraId="56DEE893">
            <w:pPr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 w14:paraId="0B921FAA">
            <w:pPr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Siloff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Gum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 Hard десневая маска 70Н, жесткая, выпускается в картриджах по 50 мл и представляет собой силиконовую массу розового цвета, применяется для воспроизведения десны на моделях для несъёмных протезов</w:t>
            </w:r>
            <w:hyperlink r:id="rId14" w:tooltip="https://axiomadent.ru/" w:history="1">
              <w:r>
                <w:rPr>
                  <w:rStyle w:val="721"/>
                  <w:rFonts w:ascii="Times New Roman" w:hAnsi="Times New Roman" w:eastAsia="Times New Roman" w:cs="Times New Roman"/>
                  <w:b w:val="0"/>
                  <w:bCs w:val="0"/>
                  <w:sz w:val="20"/>
                  <w:szCs w:val="20"/>
                </w:rPr>
                <w:t xml:space="preserve">.</w:t>
              </w:r>
            </w:hyperlink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  <w:p w14:paraId="3DE0997C">
            <w:pPr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  <w:p w14:paraId="6C2969B4">
            <w:pPr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  <w:p w14:paraId="1EABC99E">
            <w:pPr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</w:tc>
      </w:tr>
      <w:tr>
        <w:trPr>
          <w:trHeight w:val="296"/>
        </w:trPr>
        <w:tc>
          <w:tcPr>
            <w:tcBorders/>
            <w:tcW w:w="709" w:type="dxa"/>
            <w:textDirection w:val="lrTb"/>
            <w:noWrap w:val="false"/>
          </w:tcPr>
          <w:p w14:paraId="06DD967A">
            <w:pPr>
              <w:numPr>
                <w:ilvl w:val="0"/>
                <w:numId w:val="23"/>
              </w:numPr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 w14:paraId="48A2C4A6">
            <w:pPr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 Зубы в боксах «Анис» А2 22 средний размер 20 гарнитуров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  <w:p w14:paraId="44510523">
            <w:pPr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  <w:p w14:paraId="38736869">
            <w:pPr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highlight w:val="yellow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9" w:type="dxa"/>
            <w:textDirection w:val="lrTb"/>
            <w:noWrap w:val="false"/>
          </w:tcPr>
          <w:p w14:paraId="34DF5E7A">
            <w:pPr>
              <w:pBdr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уп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val="en-US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val="en-US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9" w:type="dxa"/>
            <w:textDirection w:val="lrTb"/>
            <w:noWrap w:val="false"/>
          </w:tcPr>
          <w:p w14:paraId="55D91194">
            <w:pPr>
              <w:pBdr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val="en-US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val="en-US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 w14:paraId="2C96C76B">
            <w:pPr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 w14:paraId="5B4010E6">
            <w:pPr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 w14:paraId="0283E7D4">
            <w:pPr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Зубы "Анис" в боксе, 20 полных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гарн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., цвет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А2, средний размер 22, акриловые 2х слойные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br/>
              <w:t xml:space="preserve">Красивые европейские формы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br/>
              <w:t xml:space="preserve">Хорошее попадание в расцветку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Vita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 A1-D4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</w:tc>
      </w:tr>
      <w:tr>
        <w:trPr>
          <w:trHeight w:val="296"/>
        </w:trPr>
        <w:tc>
          <w:tcPr>
            <w:tcBorders/>
            <w:tcW w:w="709" w:type="dxa"/>
            <w:textDirection w:val="lrTb"/>
            <w:noWrap w:val="false"/>
          </w:tcPr>
          <w:p w14:paraId="26DF4A43">
            <w:pPr>
              <w:numPr>
                <w:ilvl w:val="0"/>
                <w:numId w:val="23"/>
              </w:numPr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 w14:paraId="7EE7F91B">
            <w:pPr>
              <w:widowControl w:val="false"/>
              <w:suppressLineNumbers w:val="true"/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eastAsia="ar-SA"/>
              </w:rPr>
              <w:t xml:space="preserve">Гильзы №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eastAsia="ar-SA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eastAsia="ar-S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  <w:lang w:val="en-US" w:eastAsia="ar-SA"/>
              </w:rPr>
              <w:t xml:space="preserve">/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  <w:lang w:eastAsia="ar-SA"/>
              </w:rPr>
              <w:t xml:space="preserve">Струм 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  <w:lang w:val="en-US" w:eastAsia="ar-SA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eastAsia="ar-SA"/>
              </w:rPr>
            </w:r>
          </w:p>
          <w:p w14:paraId="3A20E022">
            <w:pPr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eastAsia="ar-SA"/>
              </w:rPr>
            </w:r>
          </w:p>
          <w:p w14:paraId="4A18B41D">
            <w:pPr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Беларусь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</w:r>
          </w:p>
          <w:p w14:paraId="01D459E3">
            <w:pPr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9" w:type="dxa"/>
            <w:textDirection w:val="lrTb"/>
            <w:noWrap w:val="false"/>
          </w:tcPr>
          <w:p w14:paraId="5E11D0A2">
            <w:pPr>
              <w:pBdr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уп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9" w:type="dxa"/>
            <w:textDirection w:val="lrTb"/>
            <w:noWrap w:val="false"/>
          </w:tcPr>
          <w:p w14:paraId="6B576344">
            <w:pPr>
              <w:pBdr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 w14:paraId="206CBA70">
            <w:pPr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 w14:paraId="568B0E40">
            <w:pPr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 w14:paraId="29DECEA7">
            <w:pPr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Стандартная заготовка из стальной нержавеющей ленты, изготовленные методом штамповки и применяемая в зубопротезировании  для изготовления зубных коронок. Диаметр 7 мм, упаковка не менее 100 шт.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shd w:val="clear" w:color="auto" w:fill="ffffff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shd w:val="clear" w:color="auto" w:fill="ffffff"/>
                <w:lang w:eastAsia="ar-SA"/>
              </w:rPr>
            </w:r>
          </w:p>
        </w:tc>
      </w:tr>
      <w:tr>
        <w:trPr>
          <w:trHeight w:val="296"/>
        </w:trPr>
        <w:tc>
          <w:tcPr>
            <w:tcBorders/>
            <w:tcW w:w="709" w:type="dxa"/>
            <w:textDirection w:val="lrTb"/>
            <w:noWrap w:val="false"/>
          </w:tcPr>
          <w:p w14:paraId="31CBAA12">
            <w:pPr>
              <w:numPr>
                <w:ilvl w:val="0"/>
                <w:numId w:val="23"/>
              </w:numPr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 w14:paraId="4FC596D2">
            <w:pPr>
              <w:widowControl w:val="false"/>
              <w:suppressLineNumbers w:val="true"/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eastAsia="ar-SA"/>
              </w:rPr>
              <w:t xml:space="preserve">Гильзы № 8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  <w:lang w:val="en-US" w:eastAsia="ar-SA"/>
              </w:rPr>
              <w:t xml:space="preserve">/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  <w:lang w:eastAsia="ar-SA"/>
              </w:rPr>
              <w:t xml:space="preserve">Струм 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  <w:lang w:val="en-US" w:eastAsia="ar-SA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eastAsia="ar-SA"/>
              </w:rPr>
            </w:r>
          </w:p>
          <w:p w14:paraId="49E53622">
            <w:pPr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eastAsia="ar-SA"/>
              </w:rPr>
            </w:r>
          </w:p>
          <w:p w14:paraId="47731A82">
            <w:pPr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Беларусь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</w:r>
          </w:p>
          <w:p w14:paraId="55607FB7">
            <w:pPr>
              <w:widowControl w:val="false"/>
              <w:suppressLineNumbers w:val="true"/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eastAsia="ar-SA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9" w:type="dxa"/>
            <w:textDirection w:val="lrTb"/>
            <w:noWrap w:val="false"/>
          </w:tcPr>
          <w:p w14:paraId="2CE94E74">
            <w:pPr>
              <w:pBdr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уп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9" w:type="dxa"/>
            <w:textDirection w:val="lrTb"/>
            <w:noWrap w:val="false"/>
          </w:tcPr>
          <w:p w14:paraId="75FDEC34">
            <w:pPr>
              <w:pBdr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 w14:paraId="4581BBB4">
            <w:pPr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 w14:paraId="68B2152E">
            <w:pPr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 w14:paraId="70299136">
            <w:pPr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Стандартная заготовка из стальной нержавеющей ленты, изготовленные методом штамповки и применяемая в зубопротезировании  для изготовления зубных коронок. Диаметр 8 мм, упаковка не менее 100 шт.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</w:tc>
      </w:tr>
      <w:tr>
        <w:trPr>
          <w:trHeight w:val="296"/>
        </w:trPr>
        <w:tc>
          <w:tcPr>
            <w:tcBorders/>
            <w:tcW w:w="709" w:type="dxa"/>
            <w:textDirection w:val="lrTb"/>
            <w:noWrap w:val="false"/>
          </w:tcPr>
          <w:p w14:paraId="232699A7">
            <w:pPr>
              <w:numPr>
                <w:ilvl w:val="0"/>
                <w:numId w:val="23"/>
              </w:numPr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 w14:paraId="62CEDFFF">
            <w:pPr>
              <w:widowControl w:val="false"/>
              <w:suppressLineNumbers w:val="true"/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eastAsia="ar-SA"/>
              </w:rPr>
              <w:t xml:space="preserve">Гильзы № 9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  <w:lang w:val="en-US" w:eastAsia="ar-SA"/>
              </w:rPr>
              <w:t xml:space="preserve">/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  <w:lang w:eastAsia="ar-SA"/>
              </w:rPr>
              <w:t xml:space="preserve">Струм 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  <w:lang w:val="en-US" w:eastAsia="ar-SA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eastAsia="ar-SA"/>
              </w:rPr>
            </w:r>
          </w:p>
          <w:p w14:paraId="38BDBFF2">
            <w:pPr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eastAsia="ar-SA"/>
              </w:rPr>
            </w:r>
          </w:p>
          <w:p w14:paraId="0ACD68A1">
            <w:pPr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Беларусь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</w:r>
          </w:p>
          <w:p w14:paraId="1F38975A">
            <w:pPr>
              <w:widowControl w:val="false"/>
              <w:suppressLineNumbers w:val="true"/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eastAsia="ar-SA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9" w:type="dxa"/>
            <w:textDirection w:val="lrTb"/>
            <w:noWrap w:val="false"/>
          </w:tcPr>
          <w:p w14:paraId="0FA225D1">
            <w:pPr>
              <w:pBdr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уп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9" w:type="dxa"/>
            <w:textDirection w:val="lrTb"/>
            <w:noWrap w:val="false"/>
          </w:tcPr>
          <w:p w14:paraId="1203283D">
            <w:pPr>
              <w:pBdr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 w14:paraId="5D1BFF83">
            <w:pPr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 w14:paraId="26F3208E">
            <w:pPr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 w14:paraId="028F9F14">
            <w:pPr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Стандартная заготовка из стальной нержавеющей ленты, изготовленные методом штамповки и применяемая в зубопротезировании  для изготовления зубных коронок. Диаметр 9 мм, упаковка не менее 100 шт.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</w:tc>
      </w:tr>
      <w:tr>
        <w:trPr>
          <w:trHeight w:val="296"/>
        </w:trPr>
        <w:tc>
          <w:tcPr>
            <w:tcBorders/>
            <w:tcW w:w="709" w:type="dxa"/>
            <w:textDirection w:val="lrTb"/>
            <w:noWrap w:val="false"/>
          </w:tcPr>
          <w:p w14:paraId="677D0FA0">
            <w:pPr>
              <w:numPr>
                <w:ilvl w:val="0"/>
                <w:numId w:val="23"/>
              </w:numPr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 w14:paraId="21988EBB">
            <w:pPr>
              <w:widowControl w:val="false"/>
              <w:suppressLineNumbers w:val="true"/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eastAsia="ar-SA"/>
              </w:rPr>
              <w:t xml:space="preserve">Гильзы №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eastAsia="ar-SA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eastAsia="ar-S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  <w:lang w:val="en-US" w:eastAsia="ar-SA"/>
              </w:rPr>
              <w:t xml:space="preserve">/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  <w:lang w:eastAsia="ar-SA"/>
              </w:rPr>
              <w:t xml:space="preserve">Струм 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  <w:lang w:val="en-US" w:eastAsia="ar-SA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eastAsia="ar-SA"/>
              </w:rPr>
            </w:r>
          </w:p>
          <w:p w14:paraId="2723583B">
            <w:pPr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eastAsia="ar-SA"/>
              </w:rPr>
            </w:r>
          </w:p>
          <w:p w14:paraId="0B75B71B">
            <w:pPr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Беларусь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</w:r>
          </w:p>
          <w:p w14:paraId="283E6E08">
            <w:pPr>
              <w:widowControl w:val="false"/>
              <w:suppressLineNumbers w:val="true"/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eastAsia="ar-SA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9" w:type="dxa"/>
            <w:textDirection w:val="lrTb"/>
            <w:noWrap w:val="false"/>
          </w:tcPr>
          <w:p w14:paraId="4A52B510">
            <w:pPr>
              <w:pBdr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уп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9" w:type="dxa"/>
            <w:textDirection w:val="lrTb"/>
            <w:noWrap w:val="false"/>
          </w:tcPr>
          <w:p w14:paraId="4A33DA3A">
            <w:pPr>
              <w:pBdr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 w14:paraId="19DDC1DB">
            <w:pPr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 w14:paraId="6F107C02">
            <w:pPr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 w14:paraId="3BD5D735">
            <w:pPr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Стандартная заготовка из стальной нержавеющей ленты, изготовленные методом штамповки и применяемая в зубопротезировании  для изготовления зубных коронок. Диаметр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 мм, упаковка не менее 100 шт.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</w:tc>
      </w:tr>
      <w:tr>
        <w:trPr>
          <w:trHeight w:val="296"/>
        </w:trPr>
        <w:tc>
          <w:tcPr>
            <w:tcBorders/>
            <w:tcW w:w="709" w:type="dxa"/>
            <w:textDirection w:val="lrTb"/>
            <w:noWrap w:val="false"/>
          </w:tcPr>
          <w:p w14:paraId="4D8F3C07">
            <w:pPr>
              <w:numPr>
                <w:ilvl w:val="0"/>
                <w:numId w:val="23"/>
              </w:numPr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 w14:paraId="3404AF47">
            <w:pPr>
              <w:widowControl w:val="false"/>
              <w:suppressLineNumbers w:val="true"/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eastAsia="ar-SA"/>
              </w:rPr>
              <w:t xml:space="preserve">Кламмеры (500шт) 1.0, Полимер-Стоматология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eastAsia="ar-SA"/>
              </w:rPr>
            </w:r>
          </w:p>
          <w:p w14:paraId="3F1150A2">
            <w:pPr>
              <w:widowControl w:val="false"/>
              <w:suppressLineNumbers w:val="true"/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eastAsia="ar-SA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9" w:type="dxa"/>
            <w:textDirection w:val="lrTb"/>
            <w:noWrap w:val="false"/>
          </w:tcPr>
          <w:p w14:paraId="145ED646">
            <w:pPr>
              <w:pBdr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уп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9" w:type="dxa"/>
            <w:textDirection w:val="lrTb"/>
            <w:noWrap w:val="false"/>
          </w:tcPr>
          <w:p w14:paraId="5721F622">
            <w:pPr>
              <w:pBdr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 w14:paraId="47F20840">
            <w:pPr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 w14:paraId="6C463CAA">
            <w:pPr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 w14:paraId="6AAC1937">
            <w:pPr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Краткое описание: Кламмеры 1.0 предназначены для фиксации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воскополимерных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 и композитных материалов при моделировании протезов. Изготовлены из прочного полимера, устойчивого к деформации. Пре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имущества: Гладкая поверхность; не окрашивают материал; многоразовое использование; удобная форма. Назначение / применение: Используются при моделировании съёмных протезов в лаборатории. Технические характеристики / упаковка: Размер 1,0 мм; количество 500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шт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; материал — полимер; производитель Полимер-Стоматология, Россия.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</w:tc>
      </w:tr>
      <w:tr>
        <w:trPr>
          <w:trHeight w:val="296"/>
        </w:trPr>
        <w:tc>
          <w:tcPr>
            <w:tcBorders/>
            <w:tcW w:w="709" w:type="dxa"/>
            <w:textDirection w:val="lrTb"/>
            <w:noWrap w:val="false"/>
          </w:tcPr>
          <w:p w14:paraId="0F0A6E44">
            <w:pPr>
              <w:numPr>
                <w:ilvl w:val="0"/>
                <w:numId w:val="23"/>
              </w:numPr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 w14:paraId="2E628534">
            <w:pPr>
              <w:widowControl w:val="false"/>
              <w:suppressLineNumbers w:val="true"/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eastAsia="ar-SA"/>
              </w:rPr>
              <w:t xml:space="preserve">Aidite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eastAsia="ar-SA"/>
              </w:rPr>
              <w:t xml:space="preserve"> SHT - циркониевый диск, неокрашенный, диаметр 95 мм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eastAsia="ar-SA"/>
              </w:rPr>
              <w:t xml:space="preserve"> 18 мм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eastAsia="ar-SA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9" w:type="dxa"/>
            <w:textDirection w:val="lrTb"/>
            <w:noWrap w:val="false"/>
          </w:tcPr>
          <w:p w14:paraId="6BF30E28">
            <w:pPr>
              <w:pBdr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шт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9" w:type="dxa"/>
            <w:textDirection w:val="lrTb"/>
            <w:noWrap w:val="false"/>
          </w:tcPr>
          <w:p w14:paraId="6EBF0C9B">
            <w:pPr>
              <w:pBdr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 w14:paraId="53DC99F9">
            <w:pPr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 w14:paraId="02E529BA">
            <w:pPr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 w14:paraId="6E9392FC">
            <w:pPr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Циркониевые блоки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Aidite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 SHTW (Super High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Translucent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 White) имеют высокую степень прозрачности, предназначены для изготовления высокопрочных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цельноанатомических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 эстетических реставраций. Диаметр диска 95 мм - для фрезерных станков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Zirkonzahn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</w:tc>
      </w:tr>
      <w:tr>
        <w:trPr>
          <w:trHeight w:val="296"/>
        </w:trPr>
        <w:tc>
          <w:tcPr>
            <w:tcBorders/>
            <w:tcW w:w="709" w:type="dxa"/>
            <w:textDirection w:val="lrTb"/>
            <w:noWrap w:val="false"/>
          </w:tcPr>
          <w:p w14:paraId="5EE86F77">
            <w:pPr>
              <w:numPr>
                <w:ilvl w:val="0"/>
                <w:numId w:val="23"/>
              </w:numPr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 w14:paraId="1611D831">
            <w:pPr>
              <w:widowControl w:val="false"/>
              <w:suppressLineNumbers w:val="true"/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eastAsia="ar-SA"/>
              </w:rPr>
              <w:t xml:space="preserve">Aidite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eastAsia="ar-SA"/>
              </w:rPr>
              <w:t xml:space="preserve"> SHT - циркониевый диск, неокрашенный, диаметр 95 мм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eastAsia="ar-SA"/>
              </w:rPr>
              <w:t xml:space="preserve"> 16мм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eastAsia="ar-SA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9" w:type="dxa"/>
            <w:textDirection w:val="lrTb"/>
            <w:noWrap w:val="false"/>
          </w:tcPr>
          <w:p w14:paraId="652D83D8">
            <w:pPr>
              <w:pBdr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шт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9" w:type="dxa"/>
            <w:textDirection w:val="lrTb"/>
            <w:noWrap w:val="false"/>
          </w:tcPr>
          <w:p w14:paraId="30994280">
            <w:pPr>
              <w:pBdr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 w14:paraId="54EA9002">
            <w:pPr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 w14:paraId="640937A9">
            <w:pPr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 w14:paraId="065A72B8">
            <w:pPr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Циркониевые блоки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Aidite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 SHTW (Super High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Translucent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 White) имеют высокую степень прозрачности, предназначены для изготовления высокопрочных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цельноанатомических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 эстетических реставраций. Диаметр диска 95 мм - для фрезерных станков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Zirkonzahn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</w:tc>
      </w:tr>
      <w:tr>
        <w:trPr>
          <w:trHeight w:val="296"/>
        </w:trPr>
        <w:tc>
          <w:tcPr>
            <w:tcBorders/>
            <w:tcW w:w="709" w:type="dxa"/>
            <w:textDirection w:val="lrTb"/>
            <w:noWrap w:val="false"/>
          </w:tcPr>
          <w:p w14:paraId="0DCF26C5">
            <w:pPr>
              <w:numPr>
                <w:ilvl w:val="0"/>
                <w:numId w:val="23"/>
              </w:numPr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 w14:paraId="4F583CA9">
            <w:pPr>
              <w:widowControl w:val="false"/>
              <w:suppressLineNumbers w:val="true"/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eastAsia="ar-SA"/>
              </w:rPr>
              <w:t xml:space="preserve">Aidite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eastAsia="ar-SA"/>
              </w:rPr>
              <w:t xml:space="preserve"> SHT - циркониевый диск, неокрашенный, диаметр 95 мм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eastAsia="ar-SA"/>
              </w:rPr>
              <w:t xml:space="preserve"> 20мм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eastAsia="ar-SA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9" w:type="dxa"/>
            <w:textDirection w:val="lrTb"/>
            <w:noWrap w:val="false"/>
          </w:tcPr>
          <w:p w14:paraId="58D54A3B">
            <w:pPr>
              <w:pBdr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шт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9" w:type="dxa"/>
            <w:textDirection w:val="lrTb"/>
            <w:noWrap w:val="false"/>
          </w:tcPr>
          <w:p w14:paraId="6F0819D6">
            <w:pPr>
              <w:pBdr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 w14:paraId="08F8358C">
            <w:pPr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 w14:paraId="69B6AC14">
            <w:pPr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 w14:paraId="70C0026D">
            <w:pPr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Циркониевые блоки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Aidite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 SHTW (Super High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Translucent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 White) имеют высокую степень прозрачности, предназначены для изготовления высокопрочных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цельноанатомических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 эстетических реставраций. Диаметр диска 95 мм - для фрезерных станков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Zirkonzahn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</w:tc>
      </w:tr>
      <w:tr>
        <w:trPr>
          <w:trHeight w:val="296"/>
        </w:trPr>
        <w:tc>
          <w:tcPr>
            <w:tcBorders/>
            <w:tcW w:w="709" w:type="dxa"/>
            <w:textDirection w:val="lrTb"/>
            <w:noWrap w:val="false"/>
          </w:tcPr>
          <w:p w14:paraId="2A86E147">
            <w:pPr>
              <w:numPr>
                <w:ilvl w:val="0"/>
                <w:numId w:val="23"/>
              </w:numPr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 w14:paraId="68ADC46F">
            <w:pPr>
              <w:widowControl w:val="false"/>
              <w:suppressLineNumbers w:val="true"/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eastAsia="ar-SA"/>
              </w:rPr>
              <w:t xml:space="preserve">Re-Fine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eastAsia="ar-SA"/>
              </w:rPr>
              <w:t xml:space="preserve">Acrylic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eastAsia="ar-SA"/>
              </w:rPr>
              <w:t xml:space="preserve"> - блок-заготовка из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eastAsia="ar-SA"/>
              </w:rPr>
              <w:t xml:space="preserve">полиметилакрилата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eastAsia="ar-SA"/>
              </w:rPr>
              <w:t xml:space="preserve"> (PMMA) для CAM, 95x16 мм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eastAsia="ar-SA"/>
              </w:rPr>
              <w:t xml:space="preserve">Yamahachi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eastAsia="ar-SA"/>
              </w:rPr>
              <w:t xml:space="preserve"> (Япония)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eastAsia="ar-SA"/>
              </w:rPr>
            </w:r>
          </w:p>
          <w:p w14:paraId="27437974">
            <w:pPr>
              <w:widowControl w:val="false"/>
              <w:suppressLineNumbers w:val="true"/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eastAsia="ar-SA"/>
              </w:rPr>
              <w:t xml:space="preserve"> Цвет А-3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eastAsia="ar-SA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9" w:type="dxa"/>
            <w:textDirection w:val="lrTb"/>
            <w:noWrap w:val="false"/>
          </w:tcPr>
          <w:p w14:paraId="00E9AF57">
            <w:pPr>
              <w:pBdr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шт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9" w:type="dxa"/>
            <w:textDirection w:val="lrTb"/>
            <w:noWrap w:val="false"/>
          </w:tcPr>
          <w:p w14:paraId="551C08EE">
            <w:pPr>
              <w:pBdr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 w14:paraId="2C22B7C2">
            <w:pPr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 w14:paraId="2BA797C1">
            <w:pPr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 w14:paraId="48904161">
            <w:pPr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Диски PMMA используется для изготовления во фрезерных станках CAD / CAM: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  <w:p w14:paraId="01C89635">
            <w:pPr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Мостов и временных коронок длительного пользования. Позволяют быстро и экономично проверить функциональность и точность работы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модели перед фрезерованием из диоксида циркония.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</w:tc>
      </w:tr>
      <w:tr>
        <w:trPr>
          <w:trHeight w:val="296"/>
        </w:trPr>
        <w:tc>
          <w:tcPr>
            <w:tcBorders/>
            <w:tcW w:w="709" w:type="dxa"/>
            <w:textDirection w:val="lrTb"/>
            <w:noWrap w:val="false"/>
          </w:tcPr>
          <w:p w14:paraId="071B25F5">
            <w:pPr>
              <w:numPr>
                <w:ilvl w:val="0"/>
                <w:numId w:val="23"/>
              </w:numPr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 w14:paraId="4FE61C1B">
            <w:pPr>
              <w:widowControl w:val="false"/>
              <w:suppressLineNumbers w:val="true"/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eastAsia="ar-SA"/>
              </w:rPr>
              <w:t xml:space="preserve">Гипс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eastAsia="ar-SA"/>
              </w:rPr>
              <w:t xml:space="preserve">Гилстон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eastAsia="ar-SA"/>
              </w:rPr>
              <w:t xml:space="preserve"> /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eastAsia="ar-SA"/>
              </w:rPr>
              <w:t xml:space="preserve">Gilstone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eastAsia="ar-S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eastAsia="ar-SA"/>
              </w:rPr>
              <w:t xml:space="preserve">супергипс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eastAsia="ar-SA"/>
              </w:rPr>
              <w:t xml:space="preserve"> 25кг 4класс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eastAsia="ar-SA"/>
              </w:rPr>
            </w:r>
          </w:p>
          <w:p w14:paraId="6DD715CE">
            <w:pPr>
              <w:widowControl w:val="false"/>
              <w:suppressLineNumbers w:val="true"/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eastAsia="ar-SA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9" w:type="dxa"/>
            <w:textDirection w:val="lrTb"/>
            <w:noWrap w:val="false"/>
          </w:tcPr>
          <w:p w14:paraId="7B218BF9">
            <w:pPr>
              <w:pBdr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шт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9" w:type="dxa"/>
            <w:textDirection w:val="lrTb"/>
            <w:noWrap w:val="false"/>
          </w:tcPr>
          <w:p w14:paraId="12F74BF3">
            <w:pPr>
              <w:pBdr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 w14:paraId="2576D28C">
            <w:pPr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 w14:paraId="2B37422E">
            <w:pPr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 w14:paraId="034442C5">
            <w:pPr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Характеристики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  <w:p w14:paraId="73D7E574">
            <w:pPr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Страна изготовителя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  <w:p w14:paraId="664DE92D">
            <w:pPr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Германия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  <w:p w14:paraId="457F1BA1">
            <w:pPr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Назначение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  <w:p w14:paraId="76B662AB">
            <w:pPr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для моделей высокой точности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  <w:p w14:paraId="5AF084D2">
            <w:pPr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Цвет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  <w:p w14:paraId="1389167F">
            <w:pPr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белый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  <w:p w14:paraId="1397DBB5">
            <w:pPr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Вес, кг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  <w:p w14:paraId="3E270D7C">
            <w:pPr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25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  <w:p w14:paraId="235B0B1D">
            <w:pPr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</w:tc>
      </w:tr>
      <w:tr>
        <w:trPr>
          <w:trHeight w:val="296"/>
        </w:trPr>
        <w:tc>
          <w:tcPr>
            <w:tcBorders/>
            <w:tcW w:w="709" w:type="dxa"/>
            <w:textDirection w:val="lrTb"/>
            <w:noWrap w:val="false"/>
          </w:tcPr>
          <w:p w14:paraId="77421E72">
            <w:pPr>
              <w:numPr>
                <w:ilvl w:val="0"/>
                <w:numId w:val="23"/>
              </w:numPr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 w14:paraId="788DE339">
            <w:pPr>
              <w:widowControl w:val="false"/>
              <w:suppressLineNumbers w:val="true"/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eastAsia="ar-SA"/>
              </w:rPr>
              <w:t xml:space="preserve">Супергипс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eastAsia="ar-SA"/>
              </w:rPr>
              <w:t xml:space="preserve">-Ц ЗВГ-01 25кг Целит 2.1.3.2 3класс голубой мешок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eastAsia="ar-SA"/>
              </w:rPr>
            </w:r>
          </w:p>
          <w:p w14:paraId="037DAAD1">
            <w:pPr>
              <w:widowControl w:val="false"/>
              <w:suppressLineNumbers w:val="true"/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eastAsia="ar-SA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9" w:type="dxa"/>
            <w:textDirection w:val="lrTb"/>
            <w:noWrap w:val="false"/>
          </w:tcPr>
          <w:p w14:paraId="51F27968">
            <w:pPr>
              <w:pBdr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шт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9" w:type="dxa"/>
            <w:textDirection w:val="lrTb"/>
            <w:noWrap w:val="false"/>
          </w:tcPr>
          <w:p w14:paraId="4EA0FE26">
            <w:pPr>
              <w:pBdr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 w14:paraId="3E6ACE06">
            <w:pPr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 w14:paraId="031CDA6F">
            <w:pPr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 w14:paraId="13FC908F">
            <w:pPr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Гипс зуботехнический, высокопрочный ЗВГ-01 «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Супергипс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-Ц» – предназначен для изготовления моделей челюстей в ортопедической стоматологии при протезировании металлокерамическими, литыми и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бюгельными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 протезами, а также для изготовления комбинированных протезов в условиях стоматологических клиник и кабинетов.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  <w:p w14:paraId="0E9E2994">
            <w:pPr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</w:tc>
      </w:tr>
      <w:tr>
        <w:trPr>
          <w:trHeight w:val="296"/>
        </w:trPr>
        <w:tc>
          <w:tcPr>
            <w:tcBorders/>
            <w:tcW w:w="709" w:type="dxa"/>
            <w:textDirection w:val="lrTb"/>
            <w:noWrap w:val="false"/>
          </w:tcPr>
          <w:p w14:paraId="6A4DB9A4">
            <w:pPr>
              <w:numPr>
                <w:ilvl w:val="0"/>
                <w:numId w:val="23"/>
              </w:numPr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 w14:paraId="06276AC2">
            <w:pPr>
              <w:pBdr>
                <w:bottom w:val="single" w:color="adadad" w:sz="6" w:space="0"/>
              </w:pBdr>
              <w:shd w:val="clear" w:color="auto" w:fill="ffffff"/>
              <w:spacing w:after="180" w:line="240" w:lineRule="auto"/>
              <w:ind w:left="720"/>
              <w:jc w:val="left"/>
              <w:outlineLvl w:val="0"/>
              <w:rPr>
                <w:rFonts w:ascii="Times New Roman" w:hAnsi="Times New Roman" w:cs="Times New Roman"/>
                <w:b w:val="0"/>
                <w:bCs w:val="0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333333"/>
                <w:sz w:val="20"/>
                <w:szCs w:val="20"/>
                <w:lang w:eastAsia="ru-RU"/>
              </w:rPr>
              <w:t xml:space="preserve">Титановое основание Флэт (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333333"/>
                <w:sz w:val="20"/>
                <w:szCs w:val="20"/>
                <w:lang w:eastAsia="ru-RU"/>
              </w:rPr>
              <w:t xml:space="preserve">Flat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333333"/>
                <w:sz w:val="20"/>
                <w:szCs w:val="20"/>
                <w:lang w:eastAsia="ru-RU"/>
              </w:rPr>
              <w:t xml:space="preserve">) G/H=1 H=4.5, совместимое с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333333"/>
                <w:sz w:val="20"/>
                <w:szCs w:val="20"/>
                <w:lang w:eastAsia="ru-RU"/>
              </w:rPr>
              <w:t xml:space="preserve">Lenmiriot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333333"/>
                <w:sz w:val="20"/>
                <w:szCs w:val="20"/>
                <w:lang w:eastAsia="ru-RU"/>
              </w:rPr>
              <w:t xml:space="preserve"> R,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333333"/>
                <w:sz w:val="20"/>
                <w:szCs w:val="20"/>
                <w:lang w:eastAsia="ru-RU"/>
              </w:rPr>
              <w:t xml:space="preserve">Osstem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333333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333333"/>
                <w:sz w:val="20"/>
                <w:szCs w:val="20"/>
                <w:lang w:eastAsia="ru-RU"/>
              </w:rPr>
              <w:t xml:space="preserve">Regular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333333"/>
                <w:sz w:val="20"/>
                <w:szCs w:val="20"/>
                <w:lang w:eastAsia="ru-RU"/>
              </w:rPr>
              <w:t xml:space="preserve">, один.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333333"/>
                <w:sz w:val="20"/>
                <w:szCs w:val="20"/>
                <w:lang w:eastAsia="ru-RU"/>
              </w:rPr>
              <w:t xml:space="preserve">констр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333333"/>
                <w:sz w:val="20"/>
                <w:szCs w:val="20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333333"/>
                <w:sz w:val="20"/>
                <w:szCs w:val="20"/>
                <w:lang w:eastAsia="ru-RU"/>
              </w:rPr>
              <w:t xml:space="preserve"> </w:t>
            </w:r>
            <w:r>
              <w:rPr>
                <w:rFonts w:hint="eastAsia" w:ascii="Times New Roman" w:hAnsi="Times New Roman" w:eastAsia="Times New Roman" w:cs="Times New Roman"/>
                <w:b w:val="0"/>
                <w:bCs w:val="0"/>
                <w:color w:val="333333"/>
                <w:sz w:val="20"/>
                <w:szCs w:val="20"/>
                <w:lang w:eastAsia="ru-RU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333333"/>
                <w:sz w:val="20"/>
                <w:szCs w:val="20"/>
                <w:lang w:eastAsia="ru-RU"/>
              </w:rPr>
              <w:t xml:space="preserve"> шестигранником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333333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333333"/>
                <w:sz w:val="20"/>
                <w:szCs w:val="20"/>
                <w:lang w:eastAsia="ru-RU"/>
              </w:rPr>
            </w:r>
          </w:p>
          <w:p w14:paraId="3F2D3C68">
            <w:pPr>
              <w:widowControl w:val="false"/>
              <w:suppressLineNumbers w:val="true"/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eastAsia="ar-SA"/>
              </w:rPr>
            </w:r>
          </w:p>
          <w:p w14:paraId="1796565D">
            <w:pPr>
              <w:widowControl w:val="false"/>
              <w:suppressLineNumbers w:val="true"/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eastAsia="ar-SA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9" w:type="dxa"/>
            <w:textDirection w:val="lrTb"/>
            <w:noWrap w:val="false"/>
          </w:tcPr>
          <w:p w14:paraId="231D5325">
            <w:pPr>
              <w:pBdr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шт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9" w:type="dxa"/>
            <w:textDirection w:val="lrTb"/>
            <w:noWrap w:val="false"/>
          </w:tcPr>
          <w:p w14:paraId="6ADA79E8">
            <w:pPr>
              <w:pBdr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 w14:paraId="14232731">
            <w:pPr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 w14:paraId="0E313AF8">
            <w:pPr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 w14:paraId="6EE316B7">
            <w:pPr>
              <w:numPr>
                <w:ilvl w:val="0"/>
                <w:numId w:val="31"/>
              </w:numPr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848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  <w:p w14:paraId="628BE66E">
            <w:pPr>
              <w:numPr>
                <w:ilvl w:val="0"/>
                <w:numId w:val="31"/>
              </w:numPr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G/H (высота десны):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  <w:p w14:paraId="50E75BB9">
            <w:pPr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  <w:p w14:paraId="3F17861A">
            <w:pPr>
              <w:numPr>
                <w:ilvl w:val="0"/>
                <w:numId w:val="31"/>
              </w:numPr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H (высота интерфейса):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  <w:p w14:paraId="7E868822">
            <w:pPr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4.5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  <w:p w14:paraId="197D04B1">
            <w:pPr>
              <w:numPr>
                <w:ilvl w:val="0"/>
                <w:numId w:val="31"/>
              </w:numPr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Старый артикул: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  <w:p w14:paraId="1E0245F3">
            <w:pPr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141984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  <w:p w14:paraId="12C5642B">
            <w:pPr>
              <w:numPr>
                <w:ilvl w:val="0"/>
                <w:numId w:val="31"/>
              </w:numPr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Производитель: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  <w:p w14:paraId="440BF091">
            <w:pPr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Lenmiriot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  <w:p w14:paraId="50330B0D">
            <w:pPr>
              <w:numPr>
                <w:ilvl w:val="0"/>
                <w:numId w:val="31"/>
              </w:numPr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Размер: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  <w:p w14:paraId="0B8C5E3F">
            <w:pPr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Regular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 (4.0/4.5/5.0)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  <w:p w14:paraId="070F93B9">
            <w:pPr>
              <w:numPr>
                <w:ilvl w:val="0"/>
                <w:numId w:val="31"/>
              </w:numPr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Совместимость с системами имплантатов: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  <w:p w14:paraId="7F3A8CE7">
            <w:pPr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Lenmiriot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R,Osstem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  <w:p w14:paraId="4996C863">
            <w:pPr>
              <w:numPr>
                <w:ilvl w:val="0"/>
                <w:numId w:val="31"/>
              </w:numPr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Материал: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  <w:p w14:paraId="53ED1ACA">
            <w:pPr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Ti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 (титан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Grade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 5)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  <w:p w14:paraId="75FB32DF">
            <w:pPr>
              <w:numPr>
                <w:ilvl w:val="0"/>
                <w:numId w:val="31"/>
              </w:numPr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Линейка: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  <w:p w14:paraId="5C8375F5">
            <w:pPr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Флэт (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Flat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  <w:p w14:paraId="526FB6F6">
            <w:pPr>
              <w:numPr>
                <w:ilvl w:val="0"/>
                <w:numId w:val="31"/>
              </w:numPr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Конструкция: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  <w:p w14:paraId="2E008941">
            <w:pPr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Для один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очных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  <w:p w14:paraId="68E91229">
            <w:pPr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val="en-US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val="en-US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val="en-US"/>
              </w:rPr>
            </w:r>
          </w:p>
        </w:tc>
      </w:tr>
      <w:tr>
        <w:trPr>
          <w:trHeight w:val="3685"/>
        </w:trPr>
        <w:tc>
          <w:tcPr>
            <w:tcBorders/>
            <w:tcW w:w="709" w:type="dxa"/>
            <w:textDirection w:val="lrTb"/>
            <w:noWrap w:val="false"/>
          </w:tcPr>
          <w:p w14:paraId="1C2DEF21">
            <w:pPr>
              <w:numPr>
                <w:ilvl w:val="0"/>
                <w:numId w:val="23"/>
              </w:numPr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 w14:paraId="2FC79B3B">
            <w:pPr>
              <w:pBdr>
                <w:bottom w:val="single" w:color="adadad" w:sz="6" w:space="0"/>
              </w:pBdr>
              <w:shd w:val="clear" w:color="auto" w:fill="ffffff"/>
              <w:spacing w:after="180" w:line="240" w:lineRule="auto"/>
              <w:ind w:left="360"/>
              <w:jc w:val="left"/>
              <w:outlineLvl w:val="0"/>
              <w:rPr>
                <w:rFonts w:ascii="Times New Roman" w:hAnsi="Times New Roman" w:cs="Times New Roman"/>
                <w:b w:val="0"/>
                <w:bCs w:val="0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333333"/>
                <w:sz w:val="20"/>
                <w:szCs w:val="20"/>
                <w:lang w:eastAsia="ru-RU"/>
              </w:rPr>
              <w:t xml:space="preserve">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333333"/>
                <w:sz w:val="20"/>
                <w:szCs w:val="20"/>
                <w:lang w:eastAsia="ru-RU"/>
              </w:rPr>
              <w:t xml:space="preserve">итановое основание Флэт (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333333"/>
                <w:sz w:val="20"/>
                <w:szCs w:val="20"/>
                <w:lang w:eastAsia="ru-RU"/>
              </w:rPr>
              <w:t xml:space="preserve">Flat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333333"/>
                <w:sz w:val="20"/>
                <w:szCs w:val="20"/>
                <w:lang w:eastAsia="ru-RU"/>
              </w:rPr>
              <w:t xml:space="preserve">) G/H=1 H=4.5, совместимое с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333333"/>
                <w:sz w:val="20"/>
                <w:szCs w:val="20"/>
                <w:lang w:eastAsia="ru-RU"/>
              </w:rPr>
              <w:t xml:space="preserve">Lenmiriot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333333"/>
                <w:sz w:val="20"/>
                <w:szCs w:val="20"/>
                <w:lang w:eastAsia="ru-RU"/>
              </w:rPr>
              <w:t xml:space="preserve"> R,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333333"/>
                <w:sz w:val="20"/>
                <w:szCs w:val="20"/>
                <w:lang w:eastAsia="ru-RU"/>
              </w:rPr>
              <w:t xml:space="preserve">Osstem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333333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333333"/>
                <w:sz w:val="20"/>
                <w:szCs w:val="20"/>
                <w:lang w:eastAsia="ru-RU"/>
              </w:rPr>
              <w:t xml:space="preserve">Regular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333333"/>
                <w:sz w:val="20"/>
                <w:szCs w:val="20"/>
                <w:lang w:eastAsia="ru-RU"/>
              </w:rPr>
              <w:t xml:space="preserve">, мост.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333333"/>
                <w:sz w:val="20"/>
                <w:szCs w:val="20"/>
                <w:lang w:eastAsia="ru-RU"/>
              </w:rPr>
              <w:t xml:space="preserve">констр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333333"/>
                <w:sz w:val="20"/>
                <w:szCs w:val="20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333333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333333"/>
                <w:sz w:val="20"/>
                <w:szCs w:val="20"/>
                <w:lang w:eastAsia="ru-RU"/>
              </w:rPr>
            </w:r>
          </w:p>
          <w:p w14:paraId="21D93E40">
            <w:pPr>
              <w:pBdr>
                <w:bottom w:val="single" w:color="adadad" w:sz="6" w:space="0"/>
              </w:pBdr>
              <w:shd w:val="clear" w:color="auto" w:fill="ffffff"/>
              <w:spacing w:after="180" w:line="240" w:lineRule="auto"/>
              <w:ind w:left="360"/>
              <w:jc w:val="left"/>
              <w:outlineLvl w:val="0"/>
              <w:rPr>
                <w:rFonts w:ascii="Times New Roman" w:hAnsi="Times New Roman" w:cs="Times New Roman"/>
                <w:b w:val="0"/>
                <w:bCs w:val="0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333333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333333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333333"/>
                <w:sz w:val="20"/>
                <w:szCs w:val="20"/>
                <w:lang w:eastAsia="ru-RU"/>
              </w:rPr>
            </w:r>
          </w:p>
          <w:p w14:paraId="07A05213">
            <w:pPr>
              <w:widowControl w:val="false"/>
              <w:suppressLineNumbers w:val="true"/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eastAsia="ar-SA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eastAsia="ar-SA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9" w:type="dxa"/>
            <w:textDirection w:val="lrTb"/>
            <w:noWrap w:val="false"/>
          </w:tcPr>
          <w:p w14:paraId="59CF6609">
            <w:pPr>
              <w:pBdr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шт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9" w:type="dxa"/>
            <w:textDirection w:val="lrTb"/>
            <w:noWrap w:val="false"/>
          </w:tcPr>
          <w:p w14:paraId="6A3ACF29">
            <w:pPr>
              <w:pBdr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30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 w14:paraId="084598BE">
            <w:pPr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 w14:paraId="66D6CD86">
            <w:pPr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 w14:paraId="0C8C3CFF">
            <w:pPr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 Линейка: Флэт (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Flat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) / Флэт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br/>
              <w:t xml:space="preserve">- Совместимость с системами имплантатов: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Lenmiriot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 R,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Osstem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 /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Ленмириот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 Р,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Осстем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br/>
              <w:t xml:space="preserve">- Размер: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Regular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 (4.0/4.5/5.0) / Регуляр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br/>
              <w:t xml:space="preserve">- Постобработка: Без дополнительной обработки / без нанесения дополнительного покрытия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br/>
              <w:t xml:space="preserve">- G/H (высота десны): 1 мм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br/>
              <w:t xml:space="preserve">- H (высота интерфейса): 4.5 мм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br/>
              <w:t xml:space="preserve">- Материал: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Ti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 (титан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Grade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 5)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br/>
              <w:t xml:space="preserve">- Конструкция: Для мостовидных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br/>
              <w:t xml:space="preserve">- Наличие позиционера: Нет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</w:tc>
      </w:tr>
      <w:tr>
        <w:trPr>
          <w:trHeight w:val="296"/>
        </w:trPr>
        <w:tc>
          <w:tcPr>
            <w:tcBorders/>
            <w:tcW w:w="709" w:type="dxa"/>
            <w:textDirection w:val="lrTb"/>
            <w:noWrap w:val="false"/>
          </w:tcPr>
          <w:p w14:paraId="3FB95E0E">
            <w:pPr>
              <w:numPr>
                <w:ilvl w:val="0"/>
                <w:numId w:val="23"/>
              </w:numPr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 w14:paraId="21E17D98">
            <w:pPr>
              <w:pBdr>
                <w:bottom w:val="single" w:color="adadad" w:sz="6" w:space="0"/>
              </w:pBdr>
              <w:shd w:val="clear" w:color="auto" w:fill="ffffff"/>
              <w:spacing w:after="180" w:line="240" w:lineRule="auto"/>
              <w:ind w:left="720"/>
              <w:jc w:val="left"/>
              <w:outlineLvl w:val="0"/>
              <w:rPr>
                <w:rFonts w:ascii="Times New Roman" w:hAnsi="Times New Roman" w:cs="Times New Roman"/>
                <w:b w:val="0"/>
                <w:bCs w:val="0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333333"/>
                <w:sz w:val="20"/>
                <w:szCs w:val="20"/>
                <w:lang w:eastAsia="ru-RU"/>
              </w:rPr>
              <w:t xml:space="preserve">Титановое основание Флэт (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333333"/>
                <w:sz w:val="20"/>
                <w:szCs w:val="20"/>
                <w:lang w:eastAsia="ru-RU"/>
              </w:rPr>
              <w:t xml:space="preserve">Flat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333333"/>
                <w:sz w:val="20"/>
                <w:szCs w:val="20"/>
                <w:lang w:eastAsia="ru-RU"/>
              </w:rPr>
              <w:t xml:space="preserve">) G/H=1 H=4.5, совместимое с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333333"/>
                <w:sz w:val="20"/>
                <w:szCs w:val="20"/>
                <w:lang w:eastAsia="ru-RU"/>
              </w:rPr>
              <w:t xml:space="preserve">Dentium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333333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333333"/>
                <w:sz w:val="20"/>
                <w:szCs w:val="20"/>
                <w:lang w:eastAsia="ru-RU"/>
              </w:rPr>
              <w:t xml:space="preserve">Implantium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333333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333333"/>
                <w:sz w:val="20"/>
                <w:szCs w:val="20"/>
                <w:lang w:eastAsia="ru-RU"/>
              </w:rPr>
              <w:t xml:space="preserve">Superline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333333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333333"/>
                <w:sz w:val="20"/>
                <w:szCs w:val="20"/>
                <w:lang w:eastAsia="ru-RU"/>
              </w:rPr>
              <w:t xml:space="preserve">Lenmiriot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333333"/>
                <w:sz w:val="20"/>
                <w:szCs w:val="20"/>
                <w:lang w:eastAsia="ru-RU"/>
              </w:rPr>
              <w:t xml:space="preserve"> I/SL, мост.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333333"/>
                <w:sz w:val="20"/>
                <w:szCs w:val="20"/>
                <w:lang w:eastAsia="ru-RU"/>
              </w:rPr>
              <w:t xml:space="preserve">констр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333333"/>
                <w:sz w:val="20"/>
                <w:szCs w:val="20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333333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333333"/>
                <w:sz w:val="20"/>
                <w:szCs w:val="20"/>
                <w:lang w:eastAsia="ru-RU"/>
              </w:rPr>
            </w:r>
          </w:p>
          <w:p w14:paraId="0DA3B3FC">
            <w:pPr>
              <w:pBdr>
                <w:bottom w:val="single" w:color="adadad" w:sz="6" w:space="0"/>
              </w:pBdr>
              <w:shd w:val="clear" w:color="auto" w:fill="ffffff"/>
              <w:spacing w:after="180" w:line="240" w:lineRule="auto"/>
              <w:ind/>
              <w:jc w:val="left"/>
              <w:outlineLvl w:val="0"/>
              <w:rPr>
                <w:rFonts w:ascii="Times New Roman" w:hAnsi="Times New Roman" w:cs="Times New Roman"/>
                <w:b w:val="0"/>
                <w:bCs w:val="0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333333"/>
                <w:sz w:val="20"/>
                <w:szCs w:val="20"/>
                <w:lang w:val="en-US" w:eastAsia="ru-RU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333333"/>
                <w:sz w:val="20"/>
                <w:szCs w:val="20"/>
                <w:lang w:val="en-US" w:eastAsia="ru-RU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333333"/>
                <w:sz w:val="20"/>
                <w:szCs w:val="20"/>
                <w:lang w:val="en-US"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9" w:type="dxa"/>
            <w:textDirection w:val="lrTb"/>
            <w:noWrap w:val="false"/>
          </w:tcPr>
          <w:p w14:paraId="7BFC08E3">
            <w:pPr>
              <w:pBdr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val="ru-RU"/>
              </w:rPr>
              <w:t xml:space="preserve">шт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val="en-US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9" w:type="dxa"/>
            <w:textDirection w:val="lrTb"/>
            <w:noWrap w:val="false"/>
          </w:tcPr>
          <w:p w14:paraId="6D00E908">
            <w:pPr>
              <w:pBdr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val="en-US"/>
              </w:rPr>
              <w:t xml:space="preserve">20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val="en-US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val="en-US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 w14:paraId="1BBE36A6">
            <w:pPr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 w14:paraId="537678B1">
            <w:pPr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 w14:paraId="7BF2461D">
            <w:pPr>
              <w:numPr>
                <w:ilvl w:val="0"/>
                <w:numId w:val="32"/>
              </w:numPr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овместимость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 с системами имплантатов: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  <w:p w14:paraId="3BA7CACC">
            <w:pPr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val="en-US"/>
              </w:rPr>
              <w:t xml:space="preserve">Dentium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val="en-US"/>
              </w:rPr>
              <w:t xml:space="preserve">Implantium,Superline,Lenmiriot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val="en-US"/>
              </w:rPr>
              <w:t xml:space="preserve">I,Lenmiriot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val="en-US"/>
              </w:rPr>
              <w:t xml:space="preserve"> SL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val="en-US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val="en-US"/>
              </w:rPr>
            </w:r>
          </w:p>
          <w:p w14:paraId="35AD4EEB">
            <w:pPr>
              <w:numPr>
                <w:ilvl w:val="0"/>
                <w:numId w:val="32"/>
              </w:numPr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Материал: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  <w:p w14:paraId="6C1CAEC4">
            <w:pPr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Ti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 (титан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Grade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 5)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  <w:p w14:paraId="3ECCE5CE">
            <w:pPr>
              <w:numPr>
                <w:ilvl w:val="0"/>
                <w:numId w:val="32"/>
              </w:numPr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Линейка: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  <w:p w14:paraId="66F96968">
            <w:pPr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Флэт (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Flat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  <w:p w14:paraId="27780EFE">
            <w:pPr>
              <w:numPr>
                <w:ilvl w:val="0"/>
                <w:numId w:val="32"/>
              </w:numPr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Конструкция: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  <w:p w14:paraId="5C13F43B">
            <w:pPr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Для мостовидных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  <w:p w14:paraId="7BAFB501">
            <w:pPr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</w:tc>
      </w:tr>
      <w:tr>
        <w:trPr>
          <w:trHeight w:val="296"/>
        </w:trPr>
        <w:tc>
          <w:tcPr>
            <w:tcBorders/>
            <w:tcW w:w="709" w:type="dxa"/>
            <w:textDirection w:val="lrTb"/>
            <w:noWrap w:val="false"/>
          </w:tcPr>
          <w:p w14:paraId="0FCA604C">
            <w:pPr>
              <w:numPr>
                <w:ilvl w:val="0"/>
                <w:numId w:val="23"/>
              </w:numPr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 w14:paraId="043674EA">
            <w:pPr>
              <w:pBdr>
                <w:bottom w:val="single" w:color="adadad" w:sz="6" w:space="0"/>
              </w:pBdr>
              <w:shd w:val="clear" w:color="auto" w:fill="ffffff"/>
              <w:spacing w:after="180" w:line="240" w:lineRule="auto"/>
              <w:ind w:left="360"/>
              <w:jc w:val="left"/>
              <w:outlineLvl w:val="0"/>
              <w:rPr>
                <w:rFonts w:ascii="Times New Roman" w:hAnsi="Times New Roman" w:cs="Times New Roman"/>
                <w:b w:val="0"/>
                <w:bCs w:val="0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333333"/>
                <w:sz w:val="20"/>
                <w:szCs w:val="20"/>
                <w:lang w:eastAsia="ru-RU"/>
              </w:rPr>
              <w:t xml:space="preserve">Титановое основание Флэт (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333333"/>
                <w:sz w:val="20"/>
                <w:szCs w:val="20"/>
                <w:lang w:eastAsia="ru-RU"/>
              </w:rPr>
              <w:t xml:space="preserve">Flat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333333"/>
                <w:sz w:val="20"/>
                <w:szCs w:val="20"/>
                <w:lang w:eastAsia="ru-RU"/>
              </w:rPr>
              <w:t xml:space="preserve">) G/H=1.5 H=4.5, совместимое с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333333"/>
                <w:sz w:val="20"/>
                <w:szCs w:val="20"/>
                <w:lang w:eastAsia="ru-RU"/>
              </w:rPr>
              <w:t xml:space="preserve">Lenmiriot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333333"/>
                <w:sz w:val="20"/>
                <w:szCs w:val="20"/>
                <w:lang w:eastAsia="ru-RU"/>
              </w:rPr>
              <w:t xml:space="preserve"> M,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333333"/>
                <w:sz w:val="20"/>
                <w:szCs w:val="20"/>
                <w:lang w:eastAsia="ru-RU"/>
              </w:rPr>
              <w:t xml:space="preserve">Osstem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333333"/>
                <w:sz w:val="20"/>
                <w:szCs w:val="20"/>
                <w:lang w:eastAsia="ru-RU"/>
              </w:rPr>
              <w:t xml:space="preserve"> Mini, один.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333333"/>
                <w:sz w:val="20"/>
                <w:szCs w:val="20"/>
                <w:lang w:eastAsia="ru-RU"/>
              </w:rPr>
              <w:t xml:space="preserve">констр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333333"/>
                <w:sz w:val="20"/>
                <w:szCs w:val="20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333333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333333"/>
                <w:sz w:val="20"/>
                <w:szCs w:val="20"/>
                <w:lang w:eastAsia="ru-RU"/>
              </w:rPr>
            </w:r>
          </w:p>
          <w:p w14:paraId="0840DCE5">
            <w:pPr>
              <w:pBdr>
                <w:bottom w:val="single" w:color="adadad" w:sz="6" w:space="0"/>
              </w:pBdr>
              <w:shd w:val="clear" w:color="auto" w:fill="ffffff"/>
              <w:spacing w:after="180" w:line="240" w:lineRule="auto"/>
              <w:ind w:left="360"/>
              <w:jc w:val="left"/>
              <w:outlineLvl w:val="0"/>
              <w:rPr>
                <w:rFonts w:ascii="Times New Roman" w:hAnsi="Times New Roman" w:cs="Times New Roman"/>
                <w:b w:val="0"/>
                <w:bCs w:val="0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333333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333333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333333"/>
                <w:sz w:val="20"/>
                <w:szCs w:val="20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9" w:type="dxa"/>
            <w:textDirection w:val="lrTb"/>
            <w:noWrap w:val="false"/>
          </w:tcPr>
          <w:p w14:paraId="5F2C31C1">
            <w:pPr>
              <w:pBdr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val="ru-RU"/>
              </w:rPr>
              <w:t xml:space="preserve">шт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val="en-US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9" w:type="dxa"/>
            <w:textDirection w:val="lrTb"/>
            <w:noWrap w:val="false"/>
          </w:tcPr>
          <w:p w14:paraId="6A9B6255">
            <w:pPr>
              <w:pBdr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val="en-US"/>
              </w:rPr>
              <w:t xml:space="preserve">20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val="en-US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val="en-US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 w14:paraId="4BD37B77">
            <w:pPr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 w14:paraId="280976ED">
            <w:pPr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 w14:paraId="05613EA1">
            <w:pPr>
              <w:numPr>
                <w:ilvl w:val="0"/>
                <w:numId w:val="33"/>
              </w:numPr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Производитель: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  <w:p w14:paraId="416B8173">
            <w:pPr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Lenmiriot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  <w:p w14:paraId="4499B501">
            <w:pPr>
              <w:numPr>
                <w:ilvl w:val="0"/>
                <w:numId w:val="33"/>
              </w:numPr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Размер: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  <w:p w14:paraId="3F30EC75">
            <w:pPr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Mini (3.5)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  <w:p w14:paraId="004CA8F7">
            <w:pPr>
              <w:numPr>
                <w:ilvl w:val="0"/>
                <w:numId w:val="33"/>
              </w:numPr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Совместимость с системами имплантатов: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  <w:p w14:paraId="7BA95F89">
            <w:pPr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Lenmiriot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M,Osstem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  <w:p w14:paraId="617D8535">
            <w:pPr>
              <w:numPr>
                <w:ilvl w:val="0"/>
                <w:numId w:val="33"/>
              </w:numPr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Материал: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  <w:p w14:paraId="6252D7F1">
            <w:pPr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Ti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 (титан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Grade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 5)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  <w:p w14:paraId="65F2DCCD">
            <w:pPr>
              <w:numPr>
                <w:ilvl w:val="0"/>
                <w:numId w:val="33"/>
              </w:numPr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Линейка: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  <w:p w14:paraId="50FA21AE">
            <w:pPr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Флэт (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Flat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  <w:p w14:paraId="40E5B9EB">
            <w:pPr>
              <w:numPr>
                <w:ilvl w:val="0"/>
                <w:numId w:val="33"/>
              </w:numPr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Конструкция: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  <w:p w14:paraId="45FBCEAB">
            <w:pPr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Для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одиноч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val="en-US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val="en-US"/>
              </w:rPr>
            </w:r>
          </w:p>
          <w:p w14:paraId="3EAFB377">
            <w:pPr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val="en-US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val="en-US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lang w:val="en-US"/>
              </w:rPr>
            </w:r>
          </w:p>
          <w:p w14:paraId="689D7827">
            <w:pPr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</w:tc>
      </w:tr>
      <w:tr>
        <w:trPr>
          <w:trHeight w:val="296"/>
        </w:trPr>
        <w:tc>
          <w:tcPr>
            <w:tcBorders/>
            <w:tcW w:w="709" w:type="dxa"/>
            <w:textDirection w:val="lrTb"/>
            <w:noWrap w:val="false"/>
          </w:tcPr>
          <w:p w14:paraId="59DF358F">
            <w:pPr>
              <w:numPr>
                <w:ilvl w:val="0"/>
                <w:numId w:val="23"/>
              </w:numPr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 w14:paraId="7E8A1293">
            <w:pPr>
              <w:pBdr>
                <w:bottom w:val="single" w:color="adadad" w:sz="6" w:space="0"/>
              </w:pBdr>
              <w:shd w:val="clear" w:color="auto" w:fill="ffffff"/>
              <w:spacing w:after="180" w:line="240" w:lineRule="auto"/>
              <w:ind w:left="720"/>
              <w:jc w:val="left"/>
              <w:outlineLvl w:val="0"/>
              <w:rPr>
                <w:rFonts w:ascii="Times New Roman" w:hAnsi="Times New Roman" w:cs="Times New Roman"/>
                <w:b w:val="0"/>
                <w:bCs w:val="0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333333"/>
                <w:sz w:val="20"/>
                <w:szCs w:val="20"/>
                <w:lang w:eastAsia="ru-RU"/>
              </w:rPr>
              <w:t xml:space="preserve">Титановое основание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333333"/>
                <w:sz w:val="20"/>
                <w:szCs w:val="20"/>
                <w:lang w:eastAsia="ru-RU"/>
              </w:rPr>
              <w:t xml:space="preserve">TiN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333333"/>
                <w:sz w:val="20"/>
                <w:szCs w:val="20"/>
                <w:lang w:eastAsia="ru-RU"/>
              </w:rPr>
              <w:t xml:space="preserve"> Белл Гео (Bell Geo) G/H=1.3 H=5.4, совместимое с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333333"/>
                <w:sz w:val="20"/>
                <w:szCs w:val="20"/>
                <w:lang w:eastAsia="ru-RU"/>
              </w:rPr>
              <w:t xml:space="preserve">Dentium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333333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333333"/>
                <w:sz w:val="20"/>
                <w:szCs w:val="20"/>
                <w:lang w:eastAsia="ru-RU"/>
              </w:rPr>
              <w:t xml:space="preserve">Implantium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333333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333333"/>
                <w:sz w:val="20"/>
                <w:szCs w:val="20"/>
                <w:lang w:eastAsia="ru-RU"/>
              </w:rPr>
              <w:t xml:space="preserve">Superline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333333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333333"/>
                <w:sz w:val="20"/>
                <w:szCs w:val="20"/>
                <w:lang w:eastAsia="ru-RU"/>
              </w:rPr>
              <w:t xml:space="preserve">Lenmiriot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333333"/>
                <w:sz w:val="20"/>
                <w:szCs w:val="20"/>
                <w:lang w:eastAsia="ru-RU"/>
              </w:rPr>
              <w:t xml:space="preserve"> I/SL, мост.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333333"/>
                <w:sz w:val="20"/>
                <w:szCs w:val="20"/>
                <w:lang w:eastAsia="ru-RU"/>
              </w:rPr>
              <w:t xml:space="preserve">констр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333333"/>
                <w:sz w:val="20"/>
                <w:szCs w:val="20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333333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333333"/>
                <w:sz w:val="20"/>
                <w:szCs w:val="20"/>
                <w:lang w:eastAsia="ru-RU"/>
              </w:rPr>
            </w:r>
          </w:p>
          <w:p w14:paraId="5DD5B49B">
            <w:pPr>
              <w:pBdr>
                <w:bottom w:val="single" w:color="adadad" w:sz="6" w:space="0"/>
              </w:pBdr>
              <w:shd w:val="clear" w:color="auto" w:fill="ffffff"/>
              <w:spacing w:after="180" w:line="240" w:lineRule="auto"/>
              <w:ind w:left="360"/>
              <w:jc w:val="left"/>
              <w:outlineLvl w:val="0"/>
              <w:rPr>
                <w:rFonts w:ascii="Times New Roman" w:hAnsi="Times New Roman" w:cs="Times New Roman"/>
                <w:b w:val="0"/>
                <w:bCs w:val="0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333333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333333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333333"/>
                <w:sz w:val="20"/>
                <w:szCs w:val="20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9" w:type="dxa"/>
            <w:textDirection w:val="lrTb"/>
            <w:noWrap w:val="false"/>
          </w:tcPr>
          <w:p w14:paraId="2E283A16">
            <w:pPr>
              <w:pBdr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шт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9" w:type="dxa"/>
            <w:textDirection w:val="lrTb"/>
            <w:noWrap w:val="false"/>
          </w:tcPr>
          <w:p w14:paraId="07844084">
            <w:pPr>
              <w:pBdr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20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 w14:paraId="4B1190D7">
            <w:pPr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 w14:paraId="4E1F0499">
            <w:pPr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 w14:paraId="350B2740">
            <w:pPr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- Линейка: Белл Гео (Bell Geo) / Белл Гео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br/>
              <w:t xml:space="preserve">- Совместимость с системами имплантатов: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Dentium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Implantium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Superline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Lenmiriot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 I,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Lenmiriot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 SL /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Дентиум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Имплантиум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Суперлайн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Ленмириот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 Ай,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Ленмириот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 СЛ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br/>
              <w:t xml:space="preserve">- Размер: --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br/>
              <w:t xml:space="preserve">- Постобработка: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TiN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 (нанесение нитрида титана) / с дополнительным нанесением наночастиц нитрида титана для придания высокой эстетичности и золотого цвета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br/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- G/H (высота десны): 1.3 мм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br/>
              <w:t xml:space="preserve">- H (высота интерфейса): 5.4 мм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</w:tc>
      </w:tr>
      <w:tr>
        <w:trPr>
          <w:trHeight w:val="296"/>
        </w:trPr>
        <w:tc>
          <w:tcPr>
            <w:tcBorders/>
            <w:tcW w:w="709" w:type="dxa"/>
            <w:textDirection w:val="lrTb"/>
            <w:noWrap w:val="false"/>
          </w:tcPr>
          <w:p w14:paraId="471ADA72">
            <w:pPr>
              <w:numPr>
                <w:ilvl w:val="0"/>
                <w:numId w:val="23"/>
              </w:numPr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 w14:paraId="17291B1D">
            <w:pPr>
              <w:pBdr>
                <w:bottom w:val="single" w:color="adadad" w:sz="6" w:space="0"/>
              </w:pBdr>
              <w:shd w:val="clear" w:color="auto" w:fill="ffffff"/>
              <w:spacing w:after="180" w:line="240" w:lineRule="auto"/>
              <w:ind w:left="360"/>
              <w:jc w:val="left"/>
              <w:outlineLvl w:val="0"/>
              <w:rPr>
                <w:rFonts w:ascii="Times New Roman" w:hAnsi="Times New Roman" w:cs="Times New Roman"/>
                <w:b w:val="0"/>
                <w:bCs w:val="0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333333"/>
                <w:sz w:val="20"/>
                <w:szCs w:val="20"/>
                <w:lang w:eastAsia="ru-RU"/>
              </w:rPr>
              <w:t xml:space="preserve">Spectrum TPH3 A3 (шприц 4.5 г) - светоотверждаемый гибридный пломбировочный композит.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333333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333333"/>
                <w:sz w:val="20"/>
                <w:szCs w:val="20"/>
                <w:lang w:eastAsia="ru-RU"/>
              </w:rPr>
            </w:r>
          </w:p>
          <w:p w14:paraId="3BACCEE4">
            <w:pPr>
              <w:pBdr>
                <w:bottom w:val="single" w:color="adadad" w:sz="6" w:space="0"/>
              </w:pBdr>
              <w:shd w:val="clear" w:color="auto" w:fill="ffffff"/>
              <w:spacing w:after="180" w:line="240" w:lineRule="auto"/>
              <w:ind w:left="360"/>
              <w:jc w:val="left"/>
              <w:outlineLvl w:val="0"/>
              <w:rPr>
                <w:rFonts w:ascii="Times New Roman" w:hAnsi="Times New Roman" w:cs="Times New Roman"/>
                <w:b w:val="0"/>
                <w:bCs w:val="0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333333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333333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333333"/>
                <w:sz w:val="20"/>
                <w:szCs w:val="20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9" w:type="dxa"/>
            <w:textDirection w:val="lrTb"/>
            <w:noWrap w:val="false"/>
          </w:tcPr>
          <w:p w14:paraId="1BEC8ABC">
            <w:pPr>
              <w:pBdr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шт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9" w:type="dxa"/>
            <w:textDirection w:val="lrTb"/>
            <w:noWrap w:val="false"/>
          </w:tcPr>
          <w:p w14:paraId="57299F42">
            <w:pPr>
              <w:pBdr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 w14:paraId="35ACDE18">
            <w:pPr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 w14:paraId="0C656342">
            <w:pPr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 w14:paraId="6C7371EE">
            <w:pPr>
              <w:pBdr/>
              <w:spacing w:line="240" w:lineRule="auto"/>
              <w:ind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Spectrum TPH3 - универсальный композит. Обладает великолепной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полируемость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 за счёт наличия наночастиц. Простая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моделируемость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 и удобная адаптация в полости. Высокая устойчивость к сколам для полостей всех классов. Флюоресценция натурального зуба. Spectrum TPH3 A3 (шприц 4.5 г).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</w:p>
        </w:tc>
      </w:tr>
    </w:tbl>
    <w:p w14:paraId="1B70E5C0">
      <w:pPr>
        <w:pBdr/>
        <w:spacing/>
        <w:ind/>
        <w:rPr>
          <w:rFonts w:ascii="Times New Roman" w:hAnsi="Times New Roman" w:eastAsia="Calibri" w:cs="Times New Roman"/>
          <w14:ligatures w14:val="none"/>
        </w:rPr>
      </w:pPr>
      <w:r>
        <w:rPr>
          <w:rFonts w:ascii="Times New Roman" w:hAnsi="Times New Roman" w:eastAsia="Calibri" w:cs="Times New Roman"/>
          <w14:ligatures w14:val="none"/>
        </w:rPr>
      </w:r>
      <w:r>
        <w:rPr>
          <w:rFonts w:ascii="Times New Roman" w:hAnsi="Times New Roman" w:eastAsia="Calibri" w:cs="Times New Roman"/>
          <w14:ligatures w14:val="none"/>
        </w:rPr>
      </w:r>
      <w:r>
        <w:rPr>
          <w:rFonts w:ascii="Times New Roman" w:hAnsi="Times New Roman" w:eastAsia="Calibri" w:cs="Times New Roman"/>
          <w14:ligatures w14:val="none"/>
        </w:rPr>
      </w:r>
    </w:p>
    <w:p w14:paraId="00786FEE">
      <w:pPr>
        <w:pBdr/>
        <w:spacing/>
        <w:ind/>
        <w:rPr/>
      </w:pPr>
      <w:r/>
      <w:r/>
      <w:r/>
    </w:p>
    <w:p>
      <w:pPr>
        <w:pBdr/>
        <w:spacing w:line="240" w:lineRule="auto"/>
        <w:ind w:firstLine="709"/>
        <w:rPr>
          <w:b/>
          <w:sz w:val="22"/>
          <w:szCs w:val="22"/>
        </w:rPr>
      </w:pP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Bdr/>
        <w:spacing w:line="240" w:lineRule="auto"/>
        <w:ind w:firstLine="709"/>
        <w:rPr>
          <w:b/>
          <w:sz w:val="22"/>
          <w:szCs w:val="22"/>
        </w:rPr>
      </w:pP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Bdr/>
        <w:spacing w:line="240" w:lineRule="auto"/>
        <w:ind w:firstLine="709"/>
        <w:rPr>
          <w:color w:val="000000"/>
          <w:sz w:val="22"/>
          <w:szCs w:val="22"/>
        </w:rPr>
      </w:pPr>
      <w:r>
        <w:rPr>
          <w:b/>
          <w:sz w:val="22"/>
          <w:szCs w:val="22"/>
        </w:rPr>
        <w:t xml:space="preserve">Требования к качеству, техническим характеристикам товара, требов</w:t>
      </w:r>
      <w:r>
        <w:rPr>
          <w:b/>
          <w:sz w:val="22"/>
          <w:szCs w:val="22"/>
        </w:rPr>
        <w:t xml:space="preserve">ания к их безопасности, требования к функциональным характеристикам (потребительским свойствам) товара, требования к размерам, упаковке, отгрузке товара, и иные показатели, связанные с определением соответствия поставляемого товара потребностям Заказчика: </w:t>
      </w:r>
      <w:r>
        <w:rPr>
          <w:color w:val="000000"/>
          <w:sz w:val="22"/>
          <w:szCs w:val="22"/>
        </w:rPr>
      </w:r>
    </w:p>
    <w:p>
      <w:pPr>
        <w:pBdr/>
        <w:spacing w:line="240" w:lineRule="auto"/>
        <w:ind w:firstLine="709"/>
        <w:rPr>
          <w:sz w:val="22"/>
          <w:szCs w:val="22"/>
        </w:rPr>
      </w:pPr>
      <w:r/>
      <w:bookmarkStart w:id="20" w:name="_Hlk77759225"/>
      <w:r>
        <w:rPr>
          <w:rFonts w:eastAsia="SimSun"/>
          <w:sz w:val="22"/>
          <w:szCs w:val="22"/>
        </w:rPr>
        <w:t xml:space="preserve">Поставщик, поставляющий това</w:t>
      </w:r>
      <w:r>
        <w:rPr>
          <w:rFonts w:eastAsia="SimSun"/>
          <w:sz w:val="22"/>
          <w:szCs w:val="22"/>
        </w:rPr>
        <w:t xml:space="preserve">р, гарантирует качество и безопасность поставляемого товара. Качество и безопасность поставляемого товара должно соответствовать действующим стандартами или нормативными документами, утвержденными в отношении данного вида товара, и подтверждаться наличием </w:t>
      </w:r>
      <w:r>
        <w:rPr>
          <w:sz w:val="22"/>
          <w:szCs w:val="22"/>
        </w:rPr>
        <w:t xml:space="preserve">документов, подтверждающих качество Товара (копии деклараций о соответствии; сертификатов о соответствии (при наличии))</w:t>
      </w:r>
      <w:r>
        <w:t xml:space="preserve">, </w:t>
      </w:r>
      <w:r>
        <w:rPr>
          <w:sz w:val="22"/>
          <w:szCs w:val="22"/>
        </w:rPr>
        <w:t xml:space="preserve">регистрационным удостоверением МЗ РФ (</w:t>
      </w:r>
      <w:r>
        <w:rPr>
          <w:sz w:val="22"/>
          <w:szCs w:val="22"/>
        </w:rPr>
        <w:t xml:space="preserve">Росздравнадзора</w:t>
      </w:r>
      <w:r>
        <w:rPr>
          <w:sz w:val="22"/>
          <w:szCs w:val="22"/>
        </w:rPr>
        <w:t xml:space="preserve">) на поставляемую продукцию</w:t>
      </w:r>
      <w:r>
        <w:rPr>
          <w:rFonts w:eastAsia="SimSun"/>
          <w:sz w:val="22"/>
          <w:szCs w:val="22"/>
        </w:rPr>
        <w:t xml:space="preserve">, оформленных в соответствии с действующим российским законодательством и требованиям</w:t>
      </w:r>
      <w:r>
        <w:rPr>
          <w:sz w:val="22"/>
          <w:szCs w:val="22"/>
        </w:rPr>
        <w:t xml:space="preserve">, товар должен соответствовать указанным на упаковке характеристикам и инст</w:t>
      </w:r>
      <w:r>
        <w:rPr>
          <w:sz w:val="22"/>
          <w:szCs w:val="22"/>
        </w:rPr>
        <w:t xml:space="preserve">рукции по применению и должен быть пригоден для целей, для которых товар такого рода используется. Товар должен принадлежать Поставщику на праве собственности, быть свободным от любых притязаний третьих лиц, не находящимся под запретом (арестом), в залоге.</w:t>
      </w:r>
      <w:r>
        <w:rPr>
          <w:sz w:val="22"/>
          <w:szCs w:val="22"/>
        </w:rPr>
      </w:r>
    </w:p>
    <w:p>
      <w:pPr>
        <w:pBdr/>
        <w:spacing w:line="240" w:lineRule="auto"/>
        <w:ind w:firstLine="709"/>
        <w:rPr>
          <w:sz w:val="22"/>
          <w:szCs w:val="22"/>
        </w:rPr>
      </w:pPr>
      <w:r>
        <w:rPr>
          <w:sz w:val="22"/>
          <w:szCs w:val="22"/>
        </w:rPr>
        <w:t xml:space="preserve">Копии документов, подтверждающих качество поставленного Товара (копии деклараций о соответствии; сертификатов о соответствии (при наличии))</w:t>
      </w:r>
      <w:r>
        <w:rPr>
          <w:rFonts w:eastAsia="SimSun"/>
          <w:sz w:val="22"/>
          <w:szCs w:val="22"/>
        </w:rPr>
        <w:t xml:space="preserve">, оформленных в соответствии с действующим российским законодательством и требованиям)</w:t>
      </w:r>
      <w:r>
        <w:rPr>
          <w:sz w:val="22"/>
          <w:szCs w:val="22"/>
        </w:rPr>
        <w:t xml:space="preserve">, регистрационных удостоверений, нормативной документации по контролю качества передаются Заказчику вместе с Товаром.</w:t>
      </w:r>
      <w:r>
        <w:rPr>
          <w:sz w:val="22"/>
          <w:szCs w:val="22"/>
        </w:rPr>
      </w:r>
    </w:p>
    <w:p>
      <w:pPr>
        <w:pBdr/>
        <w:spacing w:line="240" w:lineRule="auto"/>
        <w:ind w:firstLine="709"/>
        <w:rPr>
          <w:sz w:val="22"/>
          <w:szCs w:val="22"/>
        </w:rPr>
      </w:pPr>
      <w:r>
        <w:rPr>
          <w:sz w:val="22"/>
          <w:szCs w:val="22"/>
        </w:rPr>
        <w:t xml:space="preserve">На момент поставки остаточный срок годности Товара должен составлять не менее 75%, от срока годности, указанного производителем.</w:t>
      </w:r>
      <w:r>
        <w:rPr>
          <w:sz w:val="22"/>
          <w:szCs w:val="22"/>
        </w:rPr>
      </w:r>
    </w:p>
    <w:p>
      <w:pPr>
        <w:pBdr/>
        <w:spacing w:line="240" w:lineRule="auto"/>
        <w:ind w:firstLine="709"/>
        <w:rPr>
          <w:sz w:val="22"/>
          <w:szCs w:val="22"/>
        </w:rPr>
      </w:pPr>
      <w:r>
        <w:rPr>
          <w:sz w:val="22"/>
          <w:szCs w:val="22"/>
        </w:rPr>
        <w:t xml:space="preserve">Поставляемый товар должен иметь санитарно-эпидемиологическое заключение Службы по надзору в сфере защиты прав потребителей и благополучия человека. Поставляемый товар должен иметь инструкцию по применению на русском языке.</w:t>
      </w:r>
      <w:r>
        <w:rPr>
          <w:sz w:val="22"/>
          <w:szCs w:val="22"/>
        </w:rPr>
      </w:r>
    </w:p>
    <w:p>
      <w:pPr>
        <w:pBdr/>
        <w:spacing w:line="240" w:lineRule="auto"/>
        <w:ind w:firstLine="709"/>
        <w:rPr>
          <w:sz w:val="22"/>
          <w:szCs w:val="22"/>
        </w:rPr>
      </w:pPr>
      <w:r>
        <w:rPr>
          <w:sz w:val="22"/>
          <w:szCs w:val="22"/>
        </w:rPr>
        <w:t xml:space="preserve">Товар должен быть поставлен в упаковке, способной предотвратить его повреждение или порчу во время перевозки, передачи Заказчику и дальнейшего хранения. Упаковка товара не должна быть нарушена.</w:t>
      </w:r>
      <w:r>
        <w:rPr>
          <w:sz w:val="22"/>
          <w:szCs w:val="22"/>
        </w:rPr>
      </w:r>
    </w:p>
    <w:p>
      <w:pPr>
        <w:pBdr/>
        <w:spacing w:line="240" w:lineRule="auto"/>
        <w:ind w:firstLine="709"/>
        <w:rPr>
          <w:sz w:val="22"/>
          <w:szCs w:val="22"/>
        </w:rPr>
      </w:pPr>
      <w:r>
        <w:rPr>
          <w:sz w:val="22"/>
          <w:szCs w:val="22"/>
        </w:rPr>
        <w:t xml:space="preserve">Существенным нарушением требований к качеству товара является поставка товара с неустранимыми недостатками, недостатками, которые не могут быть устр</w:t>
      </w:r>
      <w:r>
        <w:rPr>
          <w:sz w:val="22"/>
          <w:szCs w:val="22"/>
        </w:rPr>
        <w:t xml:space="preserve">анены без несоразмерных расходов или затрат времени, или с недостатками, выявляющимися неоднократно после их устранения, а также с другими подобными недостатками. Некачественный товар, товар, не соответствующий условиям договора, считается не поставленным.</w:t>
      </w:r>
      <w:bookmarkEnd w:id="20"/>
      <w:r/>
      <w:r>
        <w:rPr>
          <w:sz w:val="22"/>
          <w:szCs w:val="22"/>
        </w:rPr>
      </w:r>
    </w:p>
    <w:sectPr>
      <w:footnotePr/>
      <w:endnotePr/>
      <w:type w:val="nextPage"/>
      <w:pgSz w:h="16838" w:orient="portrait" w:w="11906"/>
      <w:pgMar w:top="1134" w:right="850" w:bottom="1134" w:left="1701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 Symbol">
    <w:panose1 w:val="020B0502040204020203"/>
  </w:font>
  <w:font w:name="Symbol">
    <w:panose1 w:val="05050102010706020507"/>
  </w:font>
  <w:font w:name="Wingdings">
    <w:panose1 w:val="05000000000000000000"/>
  </w:font>
  <w:font w:name="TimesNewRomanPSMT">
    <w:panose1 w:val="02020603050405020304"/>
  </w:font>
  <w:font w:name="Cambria">
    <w:panose1 w:val="02040503050406030204"/>
  </w:font>
  <w:font w:name="SimSun">
    <w:panose1 w:val="02010600030101010101"/>
  </w:font>
  <w:font w:name="Andale Sans UI">
    <w:panose1 w:val="05040102010807070707"/>
  </w:font>
  <w:font w:name="Segoe UI">
    <w:panose1 w:val="020B0502040204020203"/>
  </w:font>
  <w:font w:name="Calibri">
    <w:panose1 w:val="020F0502020204030204"/>
  </w:font>
  <w:font w:name="font297">
    <w:panose1 w:val="05040102010807070707"/>
  </w:font>
  <w:font w:name="Mangal">
    <w:panose1 w:val="02040503050406030204"/>
  </w:font>
  <w:font w:name="Courier New">
    <w:panose1 w:val="02070309020205020404"/>
  </w:font>
  <w:font w:name="Calibri Light">
    <w:panose1 w:val="020F0302020204030204"/>
  </w:font>
  <w:font w:name="Times New Roman">
    <w:panose1 w:val="02020603050405020304"/>
  </w:font>
  <w:font w:name="Microsoft YaHei">
    <w:panose1 w:val="020B0503020204020204"/>
  </w:font>
  <w:font w:name="TimesNewRomanPS-BoldMT">
    <w:panose1 w:val="02020603050405020304"/>
  </w:font>
  <w:font w:name="Consultant">
    <w:panose1 w:val="05040102010807070707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lvl w:ilvl="0">
      <w:isLgl w:val="false"/>
      <w:lvlJc w:val="left"/>
      <w:lvlText w:val=""/>
      <w:numFmt w:val="none"/>
      <w:pPr>
        <w:pBdr/>
        <w:tabs>
          <w:tab w:val="num" w:leader="none" w:pos="432"/>
        </w:tabs>
        <w:spacing/>
        <w:ind w:hanging="432" w:left="432"/>
      </w:pPr>
      <w:rPr/>
      <w:start w:val="1"/>
      <w:suff w:val="nothing"/>
    </w:lvl>
    <w:lvl w:ilvl="1">
      <w:isLgl w:val="false"/>
      <w:lvlJc w:val="left"/>
      <w:lvlText w:val=""/>
      <w:numFmt w:val="none"/>
      <w:pPr>
        <w:pBdr/>
        <w:tabs>
          <w:tab w:val="num" w:leader="none" w:pos="576"/>
        </w:tabs>
        <w:spacing/>
        <w:ind w:hanging="576" w:left="576"/>
      </w:pPr>
      <w:rPr/>
      <w:start w:val="1"/>
      <w:suff w:val="nothing"/>
    </w:lvl>
    <w:lvl w:ilvl="2">
      <w:isLgl w:val="false"/>
      <w:lvlJc w:val="left"/>
      <w:lvlText w:val=""/>
      <w:numFmt w:val="none"/>
      <w:pPr>
        <w:pBdr/>
        <w:tabs>
          <w:tab w:val="num" w:leader="none" w:pos="720"/>
        </w:tabs>
        <w:spacing/>
        <w:ind w:hanging="720" w:left="720"/>
      </w:pPr>
      <w:rPr/>
      <w:start w:val="1"/>
      <w:suff w:val="nothing"/>
    </w:lvl>
    <w:lvl w:ilvl="3">
      <w:isLgl w:val="false"/>
      <w:lvlJc w:val="left"/>
      <w:lvlText w:val=""/>
      <w:numFmt w:val="none"/>
      <w:pPr>
        <w:pBdr/>
        <w:tabs>
          <w:tab w:val="num" w:leader="none" w:pos="864"/>
        </w:tabs>
        <w:spacing/>
        <w:ind w:hanging="864" w:left="864"/>
      </w:pPr>
      <w:pStyle w:val="712"/>
      <w:rPr/>
      <w:start w:val="1"/>
      <w:suff w:val="nothing"/>
    </w:lvl>
    <w:lvl w:ilvl="4">
      <w:isLgl w:val="false"/>
      <w:lvlJc w:val="left"/>
      <w:lvlText w:val=""/>
      <w:numFmt w:val="none"/>
      <w:pPr>
        <w:pBdr/>
        <w:tabs>
          <w:tab w:val="num" w:leader="none" w:pos="1008"/>
        </w:tabs>
        <w:spacing/>
        <w:ind w:hanging="1008" w:left="1008"/>
      </w:pPr>
      <w:rPr/>
      <w:start w:val="1"/>
      <w:suff w:val="nothing"/>
    </w:lvl>
    <w:lvl w:ilvl="5">
      <w:isLgl w:val="false"/>
      <w:lvlJc w:val="left"/>
      <w:lvlText w:val=""/>
      <w:numFmt w:val="none"/>
      <w:pPr>
        <w:pBdr/>
        <w:tabs>
          <w:tab w:val="num" w:leader="none" w:pos="1152"/>
        </w:tabs>
        <w:spacing/>
        <w:ind w:hanging="1152" w:left="1152"/>
      </w:pPr>
      <w:rPr/>
      <w:start w:val="1"/>
      <w:suff w:val="nothing"/>
    </w:lvl>
    <w:lvl w:ilvl="6">
      <w:isLgl w:val="false"/>
      <w:lvlJc w:val="left"/>
      <w:lvlText w:val=""/>
      <w:numFmt w:val="none"/>
      <w:pPr>
        <w:pBdr/>
        <w:tabs>
          <w:tab w:val="num" w:leader="none" w:pos="1296"/>
        </w:tabs>
        <w:spacing/>
        <w:ind w:hanging="1296" w:left="1296"/>
      </w:pPr>
      <w:rPr/>
      <w:start w:val="1"/>
      <w:suff w:val="nothing"/>
    </w:lvl>
    <w:lvl w:ilvl="7">
      <w:isLgl w:val="false"/>
      <w:lvlJc w:val="left"/>
      <w:lvlText w:val=""/>
      <w:numFmt w:val="none"/>
      <w:pPr>
        <w:pBdr/>
        <w:tabs>
          <w:tab w:val="num" w:leader="none" w:pos="1440"/>
        </w:tabs>
        <w:spacing/>
        <w:ind w:hanging="1440" w:left="1440"/>
      </w:pPr>
      <w:rPr/>
      <w:start w:val="1"/>
      <w:suff w:val="nothing"/>
    </w:lvl>
    <w:lvl w:ilvl="8">
      <w:isLgl w:val="false"/>
      <w:lvlJc w:val="left"/>
      <w:lvlText w:val=""/>
      <w:numFmt w:val="none"/>
      <w:pPr>
        <w:pBdr/>
        <w:tabs>
          <w:tab w:val="num" w:leader="none" w:pos="1584"/>
        </w:tabs>
        <w:spacing/>
        <w:ind w:hanging="1584" w:left="1584"/>
      </w:pPr>
      <w:rPr/>
      <w:start w:val="1"/>
      <w:suff w:val="nothing"/>
    </w:lvl>
  </w:abstractNum>
  <w:abstractNum w:abstractNumId="1">
    <w:nsid w:val="0000000B"/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>
        <w:rFonts w:cs="Cambria"/>
      </w:rPr>
      <w:start w:val="1"/>
      <w:suff w:val="tab"/>
    </w:lvl>
    <w:lvl w:ilvl="1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</w:abstractNum>
  <w:abstractNum w:abstractNumId="2">
    <w:nsid w:val="0000000C"/>
    <w:lvl w:ilvl="0">
      <w:isLgl w:val="false"/>
      <w:lvlJc w:val="left"/>
      <w:lvlText w:val="%1)"/>
      <w:numFmt w:val="decimal"/>
      <w:pPr>
        <w:pBdr/>
        <w:tabs>
          <w:tab w:val="num" w:leader="none" w:pos="0"/>
        </w:tabs>
        <w:spacing/>
        <w:ind w:hanging="360" w:left="1429"/>
      </w:pPr>
      <w:rPr>
        <w:rFonts w:cs="Cambria"/>
        <w:b w:val="0"/>
        <w:i w:val="0"/>
        <w:sz w:val="24"/>
        <w:szCs w:val="24"/>
      </w:rPr>
      <w:start w:val="1"/>
      <w:suff w:val="tab"/>
    </w:lvl>
    <w:lvl w:ilvl="1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</w:abstractNum>
  <w:abstractNum w:abstractNumId="3">
    <w:nsid w:val="0000000D"/>
    <w:lvl w:ilvl="0">
      <w:isLgl w:val="false"/>
      <w:lvlJc w:val="left"/>
      <w:lvlText w:val=""/>
      <w:numFmt w:val="bullet"/>
      <w:pPr>
        <w:pBdr/>
        <w:tabs>
          <w:tab w:val="num" w:leader="none" w:pos="0"/>
        </w:tabs>
        <w:spacing/>
        <w:ind w:hanging="360" w:left="1429"/>
      </w:pPr>
      <w:rPr>
        <w:rFonts w:ascii="Cambria" w:hAnsi="Cambria"/>
      </w:rPr>
      <w:start w:val="1"/>
      <w:suff w:val="tab"/>
    </w:lvl>
    <w:lvl w:ilvl="1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</w:abstractNum>
  <w:abstractNum w:abstractNumId="4">
    <w:nsid w:val="00000010"/>
    <w:lvl w:ilvl="0">
      <w:isLgl w:val="false"/>
      <w:lvlJc w:val="left"/>
      <w:lvlText w:val="%1."/>
      <w:numFmt w:val="decimal"/>
      <w:pPr>
        <w:pBdr/>
        <w:tabs>
          <w:tab w:val="num" w:leader="none" w:pos="360"/>
        </w:tabs>
        <w:spacing/>
        <w:ind w:hanging="360" w:left="360"/>
      </w:pPr>
      <w:rPr>
        <w:rFonts w:cs="Cambria"/>
      </w:rPr>
      <w:start w:val="1"/>
      <w:suff w:val="tab"/>
    </w:lvl>
    <w:lvl w:ilvl="1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</w:abstractNum>
  <w:abstractNum w:abstractNumId="5">
    <w:nsid w:val="00000011"/>
    <w:lvl w:ilvl="0">
      <w:isLgl w:val="false"/>
      <w:lvlJc w:val="left"/>
      <w:lvlText w:val="%1."/>
      <w:numFmt w:val="decimal"/>
      <w:pPr>
        <w:pBdr/>
        <w:tabs>
          <w:tab w:val="num" w:leader="none" w:pos="360"/>
        </w:tabs>
        <w:spacing/>
        <w:ind w:hanging="360" w:left="360"/>
      </w:pPr>
      <w:rPr>
        <w:b/>
        <w:sz w:val="25"/>
        <w:szCs w:val="25"/>
      </w:rPr>
      <w:start w:val="1"/>
      <w:suff w:val="tab"/>
    </w:lvl>
    <w:lvl w:ilvl="1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</w:abstractNum>
  <w:abstractNum w:abstractNumId="6">
    <w:nsid w:val="00000012"/>
    <w:lvl w:ilvl="0">
      <w:isLgl w:val="false"/>
      <w:lvlJc w:val="left"/>
      <w:lvlText w:val="%1."/>
      <w:numFmt w:val="decimal"/>
      <w:pPr>
        <w:pBdr/>
        <w:tabs>
          <w:tab w:val="num" w:leader="none" w:pos="0"/>
        </w:tabs>
        <w:spacing/>
        <w:ind w:hanging="360" w:left="360"/>
      </w:pPr>
      <w:rPr>
        <w:rFonts w:cs="Cambria"/>
        <w:sz w:val="24"/>
        <w:szCs w:val="24"/>
      </w:rPr>
      <w:start w:val="1"/>
      <w:suff w:val="tab"/>
    </w:lvl>
    <w:lvl w:ilvl="1">
      <w:isLgl w:val="false"/>
      <w:lvlJc w:val="left"/>
      <w:lvlText w:val="%1.%2."/>
      <w:numFmt w:val="decimal"/>
      <w:pPr>
        <w:pBdr/>
        <w:tabs>
          <w:tab w:val="num" w:leader="none" w:pos="0"/>
        </w:tabs>
        <w:spacing/>
        <w:ind w:hanging="432" w:left="792"/>
      </w:pPr>
      <w:rPr>
        <w:rFonts w:cs="Cambria"/>
      </w:rPr>
      <w:start w:val="1"/>
      <w:suff w:val="tab"/>
    </w:lvl>
    <w:lvl w:ilvl="2">
      <w:isLgl w:val="false"/>
      <w:lvlJc w:val="left"/>
      <w:lvlText w:val="%1.%2.%3."/>
      <w:numFmt w:val="decimal"/>
      <w:pPr>
        <w:pBdr/>
        <w:tabs>
          <w:tab w:val="num" w:leader="none" w:pos="0"/>
        </w:tabs>
        <w:spacing/>
        <w:ind w:hanging="504" w:left="1224"/>
      </w:pPr>
      <w:rPr>
        <w:rFonts w:cs="Cambria"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tabs>
          <w:tab w:val="num" w:leader="none" w:pos="0"/>
        </w:tabs>
        <w:spacing/>
        <w:ind w:hanging="648" w:left="1728"/>
      </w:pPr>
      <w:rPr>
        <w:rFonts w:cs="Cambria"/>
      </w:rPr>
      <w:start w:val="1"/>
      <w:suff w:val="tab"/>
    </w:lvl>
    <w:lvl w:ilvl="4">
      <w:isLgl w:val="false"/>
      <w:lvlJc w:val="left"/>
      <w:lvlText w:val="%1.%2.%3.%4.%5."/>
      <w:numFmt w:val="decimal"/>
      <w:pPr>
        <w:pBdr/>
        <w:tabs>
          <w:tab w:val="num" w:leader="none" w:pos="0"/>
        </w:tabs>
        <w:spacing/>
        <w:ind w:hanging="792" w:left="2232"/>
      </w:pPr>
      <w:rPr>
        <w:rFonts w:cs="Cambria"/>
      </w:rPr>
      <w:start w:val="1"/>
      <w:suff w:val="tab"/>
    </w:lvl>
    <w:lvl w:ilvl="5">
      <w:isLgl w:val="false"/>
      <w:lvlJc w:val="left"/>
      <w:lvlText w:val="%1.%2.%3.%4.%5.%6."/>
      <w:numFmt w:val="decimal"/>
      <w:pPr>
        <w:pBdr/>
        <w:tabs>
          <w:tab w:val="num" w:leader="none" w:pos="0"/>
        </w:tabs>
        <w:spacing/>
        <w:ind w:hanging="936" w:left="2736"/>
      </w:pPr>
      <w:rPr>
        <w:rFonts w:cs="Cambria"/>
      </w:rPr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tabs>
          <w:tab w:val="num" w:leader="none" w:pos="0"/>
        </w:tabs>
        <w:spacing/>
        <w:ind w:hanging="1080" w:left="3240"/>
      </w:pPr>
      <w:rPr>
        <w:rFonts w:cs="Cambria"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tabs>
          <w:tab w:val="num" w:leader="none" w:pos="0"/>
        </w:tabs>
        <w:spacing/>
        <w:ind w:hanging="1224" w:left="3744"/>
      </w:pPr>
      <w:rPr>
        <w:rFonts w:cs="Cambria"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tabs>
          <w:tab w:val="num" w:leader="none" w:pos="0"/>
        </w:tabs>
        <w:spacing/>
        <w:ind w:hanging="1440" w:left="4320"/>
      </w:pPr>
      <w:rPr>
        <w:rFonts w:cs="Cambria"/>
      </w:rPr>
      <w:start w:val="1"/>
      <w:suff w:val="tab"/>
    </w:lvl>
  </w:abstractNum>
  <w:abstractNum w:abstractNumId="7">
    <w:nsid w:val="00000018"/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</w:abstractNum>
  <w:abstractNum w:abstractNumId="8">
    <w:nsid w:val="0C6001C3"/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9">
    <w:nsid w:val="211857CE"/>
    <w:lvl w:ilvl="0">
      <w:isLgl w:val="false"/>
      <w:lvlJc w:val="left"/>
      <w:lvlText w:val=""/>
      <w:numFmt w:val="bullet"/>
      <w:pPr>
        <w:pBdr/>
        <w:spacing/>
        <w:ind w:hanging="360" w:left="774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94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214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934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54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74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94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814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534"/>
      </w:pPr>
      <w:rPr>
        <w:rFonts w:hint="default" w:ascii="Wingdings" w:hAnsi="Wingdings"/>
      </w:rPr>
      <w:start w:val="1"/>
      <w:suff w:val="tab"/>
    </w:lvl>
  </w:abstractNum>
  <w:abstractNum w:abstractNumId="10">
    <w:nsid w:val="27A93938"/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11">
    <w:nsid w:val="2CDC2D3E"/>
    <w:lvl w:ilvl="0">
      <w:isLgl w:val="false"/>
      <w:lvlJc w:val="left"/>
      <w:lvlText w:val=""/>
      <w:numFmt w:val="bullet"/>
      <w:pPr>
        <w:pBdr/>
        <w:spacing/>
        <w:ind w:hanging="360" w:left="774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94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214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934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54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74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94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814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534"/>
      </w:pPr>
      <w:rPr>
        <w:rFonts w:hint="default" w:ascii="Wingdings" w:hAnsi="Wingdings"/>
      </w:rPr>
      <w:start w:val="1"/>
      <w:suff w:val="tab"/>
    </w:lvl>
  </w:abstractNum>
  <w:abstractNum w:abstractNumId="12">
    <w:nsid w:val="337E1D64"/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13">
    <w:nsid w:val="418F4BBC"/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4">
    <w:nsid w:val="454229E0"/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5">
    <w:nsid w:val="45840C78"/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16">
    <w:nsid w:val="46AA2034"/>
    <w:lvl w:ilvl="0">
      <w:isLgl w:val="false"/>
      <w:lvlJc w:val="left"/>
      <w:lvlText w:val=""/>
      <w:numFmt w:val="bullet"/>
      <w:pPr>
        <w:pBdr/>
        <w:spacing/>
        <w:ind w:hanging="360" w:left="720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7">
    <w:nsid w:val="478A395C"/>
    <w:lvl w:ilvl="0">
      <w:isLgl w:val="false"/>
      <w:lvlJc w:val="left"/>
      <w:lvlText w:val="%1."/>
      <w:numFmt w:val="decimal"/>
      <w:pPr>
        <w:pBdr/>
        <w:tabs>
          <w:tab w:val="num" w:leader="none" w:pos="1134"/>
        </w:tabs>
        <w:spacing/>
        <w:ind w:hanging="1134" w:left="1134"/>
      </w:pPr>
      <w:pStyle w:val="709"/>
      <w:rPr>
        <w:rFonts w:hint="default"/>
        <w:sz w:val="28"/>
        <w:szCs w:val="28"/>
      </w:rPr>
      <w:start w:val="1"/>
      <w:suff w:val="tab"/>
    </w:lvl>
    <w:lvl w:ilvl="1">
      <w:isLgl w:val="false"/>
      <w:lvlJc w:val="left"/>
      <w:lvlText w:val="%1.%2"/>
      <w:numFmt w:val="decimal"/>
      <w:pPr>
        <w:pBdr/>
        <w:tabs>
          <w:tab w:val="num" w:leader="none" w:pos="1134"/>
        </w:tabs>
        <w:spacing/>
        <w:ind w:hanging="1134" w:left="1134"/>
      </w:pPr>
      <w:pStyle w:val="710"/>
      <w:rPr>
        <w:rFonts w:hint="default" w:ascii="Times New Roman" w:hAnsi="Times New Roman"/>
        <w:b w:val="0"/>
        <w:bCs/>
        <w:i w:val="0"/>
        <w:iCs w:val="0"/>
        <w:caps w:val="0"/>
        <w:smallCaps w:val="0"/>
        <w:strike w:val="0"/>
        <w:color w:val="auto"/>
        <w:spacing w:val="0"/>
        <w:position w:val="0"/>
        <w:sz w:val="24"/>
        <w:u w:val="none"/>
        <w:shd w:val="clear" w:color="auto" w:fill="auto"/>
      </w:rPr>
      <w:start w:val="1"/>
      <w:suff w:val="tab"/>
    </w:lvl>
    <w:lvl w:ilvl="2">
      <w:isLgl w:val="false"/>
      <w:lvlJc w:val="left"/>
      <w:lvlText w:val="%1.%2.%3"/>
      <w:numFmt w:val="decimal"/>
      <w:pPr>
        <w:pBdr/>
        <w:tabs>
          <w:tab w:val="num" w:leader="none" w:pos="1134"/>
        </w:tabs>
        <w:spacing/>
        <w:ind w:hanging="1134" w:left="1134"/>
      </w:pPr>
      <w:pStyle w:val="732"/>
      <w:rPr>
        <w:rFonts w:hint="default"/>
        <w:b w:val="0"/>
        <w:i w:val="0"/>
        <w:color w:val="auto"/>
      </w:rPr>
      <w:start w:val="1"/>
      <w:suff w:val="tab"/>
    </w:lvl>
    <w:lvl w:ilvl="3">
      <w:isLgl w:val="false"/>
      <w:lvlJc w:val="left"/>
      <w:lvlText w:val="%1.%2.%3.%4"/>
      <w:numFmt w:val="decimal"/>
      <w:pPr>
        <w:pBdr/>
        <w:tabs>
          <w:tab w:val="num" w:leader="none" w:pos="1134"/>
        </w:tabs>
        <w:spacing/>
        <w:ind w:hanging="1134" w:left="1134"/>
      </w:pPr>
      <w:pStyle w:val="733"/>
      <w:rPr>
        <w:rFonts w:hint="default"/>
        <w:b w:val="0"/>
        <w:i w:val="0"/>
      </w:rPr>
      <w:start w:val="1"/>
      <w:suff w:val="tab"/>
    </w:lvl>
    <w:lvl w:ilvl="4">
      <w:isLgl w:val="false"/>
      <w:lvlJc w:val="left"/>
      <w:lvlText w:val="%5)"/>
      <w:numFmt w:val="lowerLetter"/>
      <w:pPr>
        <w:pBdr/>
        <w:tabs>
          <w:tab w:val="num" w:leader="none" w:pos="567"/>
        </w:tabs>
        <w:spacing/>
        <w:ind w:hanging="567" w:left="567"/>
      </w:pPr>
      <w:pStyle w:val="734"/>
      <w:rPr>
        <w:rFonts w:hint="default"/>
      </w:rPr>
      <w:start w:val="1"/>
      <w:suff w:val="tab"/>
    </w:lvl>
    <w:lvl w:ilvl="5">
      <w:isLgl w:val="false"/>
      <w:lvlJc w:val="left"/>
      <w:lvlText w:val="%1.%2.%3.%4.%5.%6."/>
      <w:numFmt w:val="decimal"/>
      <w:pPr>
        <w:pBdr/>
        <w:tabs>
          <w:tab w:val="num" w:leader="none" w:pos="3960"/>
        </w:tabs>
        <w:spacing/>
        <w:ind w:hanging="936" w:left="2736"/>
      </w:pPr>
      <w:rPr>
        <w:rFonts w:hint="default"/>
      </w:rPr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tabs>
          <w:tab w:val="num" w:leader="none" w:pos="4680"/>
        </w:tabs>
        <w:spacing/>
        <w:ind w:hanging="1080" w:left="3240"/>
      </w:pPr>
      <w:rPr>
        <w:rFonts w:hint="default"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tabs>
          <w:tab w:val="num" w:leader="none" w:pos="5400"/>
        </w:tabs>
        <w:spacing/>
        <w:ind w:hanging="1224" w:left="3744"/>
      </w:pPr>
      <w:rPr>
        <w:rFonts w:hint="default"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tabs>
          <w:tab w:val="num" w:leader="none" w:pos="6120"/>
        </w:tabs>
        <w:spacing/>
        <w:ind w:hanging="1440" w:left="4320"/>
      </w:pPr>
      <w:rPr>
        <w:rFonts w:hint="default"/>
      </w:rPr>
      <w:start w:val="1"/>
      <w:suff w:val="tab"/>
    </w:lvl>
  </w:abstractNum>
  <w:abstractNum w:abstractNumId="18">
    <w:nsid w:val="60DC2441"/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19">
    <w:nsid w:val="725C06B0"/>
    <w:lvl w:ilvl="0">
      <w:isLgl w:val="false"/>
      <w:lvlJc w:val="left"/>
      <w:lvlText w:val="%1)"/>
      <w:numFmt w:val="decimal"/>
      <w:pPr>
        <w:pBdr/>
        <w:spacing/>
        <w:ind w:hanging="360" w:left="106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20">
    <w:nsid w:val="73C21D7F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cs="Times New Roman"/>
      </w:rPr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>
        <w:rFonts w:cs="Times New Roman"/>
      </w:rPr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>
        <w:rFonts w:cs="Times New Roman"/>
      </w:rPr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>
        <w:rFonts w:cs="Times New Roman"/>
      </w:rPr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>
        <w:rFonts w:cs="Times New Roman"/>
      </w:rPr>
      <w:start w:val="1"/>
      <w:suff w:val="tab"/>
    </w:lvl>
  </w:abstractNum>
  <w:abstractNum w:abstractNumId="21">
    <w:nsid w:val="74AD5FC9"/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22">
    <w:nsid w:val="73C21D7F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cs="Times New Roman"/>
      </w:rPr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>
        <w:rFonts w:cs="Times New Roman"/>
      </w:rPr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>
        <w:rFonts w:cs="Times New Roman"/>
      </w:rPr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>
        <w:rFonts w:cs="Times New Roman"/>
      </w:rPr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>
        <w:rFonts w:cs="Times New Roman"/>
      </w:rPr>
      <w:start w:val="1"/>
      <w:suff w:val="tab"/>
    </w:lvl>
  </w:abstractNum>
  <w:abstractNum w:abstractNumId="23">
    <w:nsid w:val="45E350DB"/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24">
    <w:nsid w:val="21392DF2"/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25">
    <w:nsid w:val="61BC374A"/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26">
    <w:nsid w:val="0D413A76"/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27">
    <w:nsid w:val="787D38E0"/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28">
    <w:nsid w:val="39AF25EA"/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29">
    <w:nsid w:val="1B6C3CC8"/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30">
    <w:nsid w:val="7BED009F"/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31">
    <w:nsid w:val="6D57667D"/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32">
    <w:nsid w:val="601C7022"/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33">
    <w:nsid w:val="52B47CC0"/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34">
    <w:nsid w:val="700413D4"/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35">
    <w:nsid w:val="5D0B2F52"/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num w:numId="1">
    <w:abstractNumId w:val="17"/>
  </w:num>
  <w:num w:numId="2">
    <w:abstractNumId w:val="0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</w:num>
  <w:num w:numId="5">
    <w:abstractNumId w:val="3"/>
  </w:num>
  <w:num w:numId="6">
    <w:abstractNumId w:val="2"/>
    <w:lvlOverride w:ilvl="0">
      <w:startOverride w:val="1"/>
    </w:lvlOverride>
  </w:num>
  <w:num w:numId="7">
    <w:abstractNumId w:val="7"/>
    <w:lvlOverride w:ilvl="0">
      <w:startOverride w:val="1"/>
    </w:lvlOverride>
  </w:num>
  <w:num w:numId="8">
    <w:abstractNumId w:val="4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9"/>
  </w:num>
  <w:num w:numId="11">
    <w:abstractNumId w:val="13"/>
  </w:num>
  <w:num w:numId="12">
    <w:abstractNumId w:val="10"/>
  </w:num>
  <w:num w:numId="13">
    <w:abstractNumId w:val="14"/>
  </w:num>
  <w:num w:numId="14">
    <w:abstractNumId w:val="8"/>
  </w:num>
  <w:num w:numId="15">
    <w:abstractNumId w:val="15"/>
  </w:num>
  <w:num w:numId="16">
    <w:abstractNumId w:val="11"/>
  </w:num>
  <w:num w:numId="17">
    <w:abstractNumId w:val="16"/>
  </w:num>
  <w:num w:numId="18">
    <w:abstractNumId w:val="9"/>
  </w:num>
  <w:num w:numId="19">
    <w:abstractNumId w:val="12"/>
  </w:num>
  <w:num w:numId="20">
    <w:abstractNumId w:val="21"/>
  </w:num>
  <w:num w:numId="21">
    <w:abstractNumId w:val="18"/>
  </w:num>
  <w:num w:numId="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3">
    <w:name w:val="Table Grid Light"/>
    <w:basedOn w:val="71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71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71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71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71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71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71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71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71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71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71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71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71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71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71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71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71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71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71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71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71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71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71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71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44">
    <w:name w:val="Heading 6"/>
    <w:basedOn w:val="708"/>
    <w:next w:val="708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708"/>
    <w:next w:val="708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708"/>
    <w:next w:val="708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708"/>
    <w:next w:val="708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50">
    <w:name w:val="Heading 1 Char"/>
    <w:basedOn w:val="714"/>
    <w:link w:val="70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714"/>
    <w:link w:val="71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714"/>
    <w:link w:val="71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714"/>
    <w:link w:val="71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714"/>
    <w:link w:val="71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714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714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714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714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708"/>
    <w:next w:val="708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714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708"/>
    <w:next w:val="708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714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708"/>
    <w:next w:val="708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714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6">
    <w:name w:val="Intense Emphasis"/>
    <w:basedOn w:val="714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708"/>
    <w:next w:val="708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714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714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1">
    <w:name w:val="Subtle Emphasis"/>
    <w:basedOn w:val="71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714"/>
    <w:uiPriority w:val="20"/>
    <w:qFormat/>
    <w:pPr>
      <w:pBdr/>
      <w:spacing/>
      <w:ind/>
    </w:pPr>
    <w:rPr>
      <w:i/>
      <w:iCs/>
    </w:rPr>
  </w:style>
  <w:style w:type="character" w:styleId="174">
    <w:name w:val="Subtle Reference"/>
    <w:basedOn w:val="71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714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77">
    <w:name w:val="Header Char"/>
    <w:basedOn w:val="714"/>
    <w:link w:val="768"/>
    <w:uiPriority w:val="99"/>
    <w:pPr>
      <w:pBdr/>
      <w:spacing/>
      <w:ind/>
    </w:pPr>
  </w:style>
  <w:style w:type="character" w:styleId="179">
    <w:name w:val="Footer Char"/>
    <w:basedOn w:val="714"/>
    <w:link w:val="770"/>
    <w:uiPriority w:val="99"/>
    <w:pPr>
      <w:pBdr/>
      <w:spacing/>
      <w:ind/>
    </w:pPr>
  </w:style>
  <w:style w:type="paragraph" w:styleId="180">
    <w:name w:val="Caption"/>
    <w:basedOn w:val="708"/>
    <w:next w:val="708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708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714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714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708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714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714"/>
    <w:uiPriority w:val="99"/>
    <w:semiHidden/>
    <w:unhideWhenUsed/>
    <w:pPr>
      <w:pBdr/>
      <w:spacing/>
      <w:ind/>
    </w:pPr>
    <w:rPr>
      <w:vertAlign w:val="superscript"/>
    </w:rPr>
  </w:style>
  <w:style w:type="character" w:styleId="188">
    <w:name w:val="FollowedHyperlink"/>
    <w:basedOn w:val="714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708"/>
    <w:next w:val="708"/>
    <w:uiPriority w:val="39"/>
    <w:unhideWhenUsed/>
    <w:pPr>
      <w:pBdr/>
      <w:spacing w:after="100"/>
      <w:ind/>
    </w:pPr>
  </w:style>
  <w:style w:type="paragraph" w:styleId="190">
    <w:name w:val="toc 2"/>
    <w:basedOn w:val="708"/>
    <w:next w:val="708"/>
    <w:uiPriority w:val="39"/>
    <w:unhideWhenUsed/>
    <w:pPr>
      <w:pBdr/>
      <w:spacing w:after="100"/>
      <w:ind w:left="220"/>
    </w:pPr>
  </w:style>
  <w:style w:type="paragraph" w:styleId="191">
    <w:name w:val="toc 3"/>
    <w:basedOn w:val="708"/>
    <w:next w:val="708"/>
    <w:uiPriority w:val="39"/>
    <w:unhideWhenUsed/>
    <w:pPr>
      <w:pBdr/>
      <w:spacing w:after="100"/>
      <w:ind w:left="440"/>
    </w:pPr>
  </w:style>
  <w:style w:type="paragraph" w:styleId="192">
    <w:name w:val="toc 4"/>
    <w:basedOn w:val="708"/>
    <w:next w:val="708"/>
    <w:uiPriority w:val="39"/>
    <w:unhideWhenUsed/>
    <w:pPr>
      <w:pBdr/>
      <w:spacing w:after="100"/>
      <w:ind w:left="660"/>
    </w:pPr>
  </w:style>
  <w:style w:type="paragraph" w:styleId="193">
    <w:name w:val="toc 5"/>
    <w:basedOn w:val="708"/>
    <w:next w:val="708"/>
    <w:uiPriority w:val="39"/>
    <w:unhideWhenUsed/>
    <w:pPr>
      <w:pBdr/>
      <w:spacing w:after="100"/>
      <w:ind w:left="880"/>
    </w:pPr>
  </w:style>
  <w:style w:type="paragraph" w:styleId="194">
    <w:name w:val="toc 6"/>
    <w:basedOn w:val="708"/>
    <w:next w:val="708"/>
    <w:uiPriority w:val="39"/>
    <w:unhideWhenUsed/>
    <w:pPr>
      <w:pBdr/>
      <w:spacing w:after="100"/>
      <w:ind w:left="1100"/>
    </w:pPr>
  </w:style>
  <w:style w:type="paragraph" w:styleId="195">
    <w:name w:val="toc 7"/>
    <w:basedOn w:val="708"/>
    <w:next w:val="708"/>
    <w:uiPriority w:val="39"/>
    <w:unhideWhenUsed/>
    <w:pPr>
      <w:pBdr/>
      <w:spacing w:after="100"/>
      <w:ind w:left="1320"/>
    </w:pPr>
  </w:style>
  <w:style w:type="paragraph" w:styleId="196">
    <w:name w:val="toc 8"/>
    <w:basedOn w:val="708"/>
    <w:next w:val="708"/>
    <w:uiPriority w:val="39"/>
    <w:unhideWhenUsed/>
    <w:pPr>
      <w:pBdr/>
      <w:spacing w:after="100"/>
      <w:ind w:left="1540"/>
    </w:pPr>
  </w:style>
  <w:style w:type="paragraph" w:styleId="197">
    <w:name w:val="toc 9"/>
    <w:basedOn w:val="708"/>
    <w:next w:val="708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714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708"/>
    <w:next w:val="708"/>
    <w:uiPriority w:val="99"/>
    <w:unhideWhenUsed/>
    <w:pPr>
      <w:pBdr/>
      <w:spacing w:after="0" w:afterAutospacing="0"/>
      <w:ind/>
    </w:pPr>
  </w:style>
  <w:style w:type="paragraph" w:styleId="708" w:default="1">
    <w:name w:val="Normal"/>
    <w:qFormat/>
    <w:pPr>
      <w:pBdr/>
      <w:spacing w:after="0" w:line="360" w:lineRule="auto"/>
      <w:ind w:firstLine="567"/>
      <w:jc w:val="both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709">
    <w:name w:val="Heading 1"/>
    <w:basedOn w:val="708"/>
    <w:next w:val="708"/>
    <w:link w:val="717"/>
    <w:uiPriority w:val="9"/>
    <w:qFormat/>
    <w:pPr>
      <w:keepNext w:val="true"/>
      <w:keepLines w:val="true"/>
      <w:pageBreakBefore w:val="true"/>
      <w:numPr>
        <w:numId w:val="1"/>
      </w:numPr>
      <w:pBdr/>
      <w:spacing w:after="240" w:before="480" w:line="240" w:lineRule="auto"/>
      <w:ind/>
      <w:jc w:val="left"/>
      <w:outlineLvl w:val="0"/>
    </w:pPr>
    <w:rPr>
      <w:rFonts w:ascii="Arial" w:hAnsi="Arial"/>
      <w:b/>
      <w:sz w:val="40"/>
    </w:rPr>
  </w:style>
  <w:style w:type="paragraph" w:styleId="710">
    <w:name w:val="Heading 2"/>
    <w:basedOn w:val="708"/>
    <w:next w:val="708"/>
    <w:link w:val="718"/>
    <w:uiPriority w:val="9"/>
    <w:qFormat/>
    <w:pPr>
      <w:keepNext w:val="true"/>
      <w:numPr>
        <w:ilvl w:val="1"/>
        <w:numId w:val="1"/>
      </w:numPr>
      <w:pBdr/>
      <w:spacing w:after="120" w:before="360" w:line="240" w:lineRule="auto"/>
      <w:ind/>
      <w:jc w:val="left"/>
      <w:outlineLvl w:val="1"/>
    </w:pPr>
    <w:rPr>
      <w:b/>
      <w:sz w:val="32"/>
    </w:rPr>
  </w:style>
  <w:style w:type="paragraph" w:styleId="711">
    <w:name w:val="Heading 3"/>
    <w:basedOn w:val="708"/>
    <w:next w:val="708"/>
    <w:link w:val="795"/>
    <w:uiPriority w:val="9"/>
    <w:semiHidden/>
    <w:unhideWhenUsed/>
    <w:qFormat/>
    <w:pPr>
      <w:keepNext w:val="true"/>
      <w:keepLines w:val="true"/>
      <w:pBdr/>
      <w:spacing w:before="200"/>
      <w:ind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712">
    <w:name w:val="Heading 4"/>
    <w:basedOn w:val="708"/>
    <w:next w:val="751"/>
    <w:link w:val="719"/>
    <w:qFormat/>
    <w:pPr>
      <w:keepNext w:val="true"/>
      <w:keepLines w:val="true"/>
      <w:numPr>
        <w:ilvl w:val="3"/>
        <w:numId w:val="2"/>
      </w:numPr>
      <w:pBdr/>
      <w:spacing w:before="40"/>
      <w:ind/>
      <w:outlineLvl w:val="3"/>
    </w:pPr>
    <w:rPr>
      <w:rFonts w:ascii="Calibri Light" w:hAnsi="Calibri Light" w:cs="font297"/>
      <w:i/>
      <w:iCs/>
      <w:color w:val="2e74b5"/>
      <w:lang w:eastAsia="ar-SA"/>
    </w:rPr>
  </w:style>
  <w:style w:type="paragraph" w:styleId="713">
    <w:name w:val="Heading 5"/>
    <w:basedOn w:val="708"/>
    <w:next w:val="708"/>
    <w:link w:val="720"/>
    <w:uiPriority w:val="9"/>
    <w:unhideWhenUsed/>
    <w:qFormat/>
    <w:pPr>
      <w:keepNext w:val="true"/>
      <w:keepLines w:val="true"/>
      <w:pBdr/>
      <w:spacing w:before="200"/>
      <w:ind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character" w:styleId="714" w:default="1">
    <w:name w:val="Default Paragraph Font"/>
    <w:uiPriority w:val="1"/>
    <w:semiHidden/>
    <w:unhideWhenUsed/>
    <w:pPr>
      <w:pBdr/>
      <w:spacing/>
      <w:ind/>
    </w:pPr>
  </w:style>
  <w:style w:type="table" w:styleId="715" w:default="1">
    <w:name w:val="Normal Table"/>
    <w:uiPriority w:val="99"/>
    <w:semiHidden/>
    <w:unhideWhenUsed/>
    <w:qFormat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16" w:default="1">
    <w:name w:val="No List"/>
    <w:uiPriority w:val="99"/>
    <w:semiHidden/>
    <w:unhideWhenUsed/>
    <w:pPr>
      <w:pBdr/>
      <w:spacing/>
      <w:ind/>
    </w:pPr>
  </w:style>
  <w:style w:type="character" w:styleId="717" w:customStyle="1">
    <w:name w:val="Заголовок 1 Знак"/>
    <w:basedOn w:val="714"/>
    <w:link w:val="709"/>
    <w:uiPriority w:val="9"/>
    <w:pPr>
      <w:pBdr/>
      <w:spacing/>
      <w:ind/>
    </w:pPr>
    <w:rPr>
      <w:rFonts w:ascii="Arial" w:hAnsi="Arial" w:eastAsia="Times New Roman" w:cs="Times New Roman"/>
      <w:b/>
      <w:sz w:val="40"/>
      <w:szCs w:val="20"/>
      <w:lang w:eastAsia="ru-RU"/>
    </w:rPr>
  </w:style>
  <w:style w:type="character" w:styleId="718" w:customStyle="1">
    <w:name w:val="Заголовок 2 Знак"/>
    <w:basedOn w:val="714"/>
    <w:link w:val="710"/>
    <w:uiPriority w:val="9"/>
    <w:pPr>
      <w:pBdr/>
      <w:spacing/>
      <w:ind/>
    </w:pPr>
    <w:rPr>
      <w:rFonts w:ascii="Times New Roman" w:hAnsi="Times New Roman" w:eastAsia="Times New Roman" w:cs="Times New Roman"/>
      <w:b/>
      <w:sz w:val="32"/>
      <w:szCs w:val="20"/>
      <w:lang w:eastAsia="ru-RU"/>
    </w:rPr>
  </w:style>
  <w:style w:type="character" w:styleId="719" w:customStyle="1">
    <w:name w:val="Заголовок 4 Знак"/>
    <w:basedOn w:val="714"/>
    <w:link w:val="712"/>
    <w:pPr>
      <w:pBdr/>
      <w:spacing/>
      <w:ind/>
    </w:pPr>
    <w:rPr>
      <w:rFonts w:ascii="Calibri Light" w:hAnsi="Calibri Light" w:eastAsia="Times New Roman" w:cs="font297"/>
      <w:i/>
      <w:iCs/>
      <w:color w:val="2e74b5"/>
      <w:sz w:val="28"/>
      <w:szCs w:val="20"/>
      <w:lang w:eastAsia="ar-SA"/>
    </w:rPr>
  </w:style>
  <w:style w:type="character" w:styleId="720" w:customStyle="1">
    <w:name w:val="Заголовок 5 Знак"/>
    <w:basedOn w:val="714"/>
    <w:link w:val="713"/>
    <w:uiPriority w:val="9"/>
    <w:pPr>
      <w:pBdr/>
      <w:spacing/>
      <w:ind/>
    </w:pPr>
    <w:rPr>
      <w:rFonts w:asciiTheme="majorHAnsi" w:hAnsiTheme="majorHAnsi" w:eastAsiaTheme="majorEastAsia" w:cstheme="majorBidi"/>
      <w:color w:val="243f60" w:themeColor="accent1" w:themeShade="7F"/>
      <w:sz w:val="28"/>
      <w:szCs w:val="20"/>
      <w:lang w:eastAsia="ru-RU"/>
    </w:rPr>
  </w:style>
  <w:style w:type="character" w:styleId="721">
    <w:name w:val="Hyperlink"/>
    <w:uiPriority w:val="99"/>
    <w:pPr>
      <w:pBdr/>
      <w:spacing/>
      <w:ind/>
    </w:pPr>
    <w:rPr>
      <w:color w:val="0000ff"/>
      <w:u w:val="single"/>
    </w:rPr>
  </w:style>
  <w:style w:type="paragraph" w:styleId="722">
    <w:name w:val="Body Text Indent"/>
    <w:basedOn w:val="708"/>
    <w:link w:val="723"/>
    <w:pPr>
      <w:widowControl w:val="false"/>
      <w:pBdr/>
      <w:spacing w:line="240" w:lineRule="auto"/>
      <w:ind w:firstLine="0"/>
    </w:pPr>
    <w:rPr>
      <w:sz w:val="22"/>
      <w:szCs w:val="22"/>
    </w:rPr>
  </w:style>
  <w:style w:type="character" w:styleId="723" w:customStyle="1">
    <w:name w:val="Основной текст с отступом Знак"/>
    <w:basedOn w:val="714"/>
    <w:link w:val="722"/>
    <w:pPr>
      <w:pBdr/>
      <w:spacing/>
      <w:ind/>
    </w:pPr>
    <w:rPr>
      <w:rFonts w:ascii="Times New Roman" w:hAnsi="Times New Roman" w:eastAsia="Times New Roman" w:cs="Times New Roman"/>
      <w:lang w:eastAsia="ru-RU"/>
    </w:rPr>
  </w:style>
  <w:style w:type="paragraph" w:styleId="724" w:customStyle="1">
    <w:name w:val="ConsNormal"/>
    <w:uiPriority w:val="99"/>
    <w:pPr>
      <w:pBdr/>
      <w:spacing w:after="0" w:line="240" w:lineRule="auto"/>
      <w:ind w:firstLine="720"/>
    </w:pPr>
    <w:rPr>
      <w:rFonts w:ascii="Consultant" w:hAnsi="Consultant" w:eastAsia="Times New Roman" w:cs="Times New Roman"/>
      <w:lang w:eastAsia="ru-RU"/>
    </w:rPr>
  </w:style>
  <w:style w:type="paragraph" w:styleId="725" w:customStyle="1">
    <w:name w:val="ConsNonformat"/>
    <w:pPr>
      <w:pBdr/>
      <w:spacing w:after="0" w:line="240" w:lineRule="auto"/>
      <w:ind/>
    </w:pPr>
    <w:rPr>
      <w:rFonts w:ascii="Consultant" w:hAnsi="Consultant" w:eastAsia="Times New Roman" w:cs="Times New Roman"/>
      <w:sz w:val="20"/>
      <w:szCs w:val="20"/>
      <w:lang w:eastAsia="ru-RU"/>
    </w:rPr>
  </w:style>
  <w:style w:type="paragraph" w:styleId="726">
    <w:name w:val="Block Text"/>
    <w:basedOn w:val="708"/>
    <w:uiPriority w:val="99"/>
    <w:semiHidden/>
    <w:pPr>
      <w:widowControl w:val="false"/>
      <w:pBdr/>
      <w:shd w:val="clear" w:color="auto" w:fill="ffffff"/>
      <w:spacing w:line="240" w:lineRule="auto"/>
      <w:ind w:right="24" w:firstLine="0" w:left="5"/>
    </w:pPr>
    <w:rPr>
      <w:color w:val="000000"/>
      <w:sz w:val="24"/>
      <w:szCs w:val="22"/>
    </w:rPr>
  </w:style>
  <w:style w:type="paragraph" w:styleId="727" w:customStyle="1">
    <w:name w:val="ConsTitle"/>
    <w:uiPriority w:val="99"/>
    <w:pPr>
      <w:widowControl w:val="false"/>
      <w:pBdr/>
      <w:spacing w:after="0" w:line="240" w:lineRule="auto"/>
      <w:ind/>
    </w:pPr>
    <w:rPr>
      <w:rFonts w:ascii="Consultant" w:hAnsi="Consultant" w:eastAsia="Times New Roman" w:cs="Times New Roman"/>
      <w:sz w:val="20"/>
      <w:szCs w:val="20"/>
      <w:lang w:eastAsia="ru-RU"/>
    </w:rPr>
  </w:style>
  <w:style w:type="paragraph" w:styleId="728" w:customStyle="1">
    <w:name w:val="Style 2"/>
    <w:basedOn w:val="708"/>
    <w:uiPriority w:val="99"/>
    <w:pPr>
      <w:widowControl w:val="false"/>
      <w:pBdr/>
      <w:spacing w:after="540" w:line="240" w:lineRule="auto"/>
      <w:ind w:right="1080" w:firstLine="0" w:left="576"/>
      <w:jc w:val="left"/>
    </w:pPr>
    <w:rPr>
      <w:color w:val="000000"/>
      <w:sz w:val="20"/>
    </w:rPr>
  </w:style>
  <w:style w:type="paragraph" w:styleId="729" w:customStyle="1">
    <w:name w:val="Style 1"/>
    <w:basedOn w:val="708"/>
    <w:uiPriority w:val="99"/>
    <w:pPr>
      <w:widowControl w:val="false"/>
      <w:pBdr/>
      <w:spacing w:line="240" w:lineRule="auto"/>
      <w:ind w:firstLine="0" w:left="360"/>
      <w:jc w:val="left"/>
    </w:pPr>
    <w:rPr>
      <w:color w:val="000000"/>
      <w:sz w:val="20"/>
    </w:rPr>
  </w:style>
  <w:style w:type="paragraph" w:styleId="730" w:customStyle="1">
    <w:name w:val="Контракт-пункт"/>
    <w:basedOn w:val="708"/>
    <w:uiPriority w:val="99"/>
    <w:pPr>
      <w:pBdr/>
      <w:tabs>
        <w:tab w:val="left" w:leader="none" w:pos="680"/>
        <w:tab w:val="num" w:leader="none" w:pos="720"/>
      </w:tabs>
      <w:spacing w:after="60" w:line="240" w:lineRule="auto"/>
      <w:ind w:left="720"/>
    </w:pPr>
    <w:rPr>
      <w:sz w:val="24"/>
      <w:szCs w:val="24"/>
    </w:rPr>
  </w:style>
  <w:style w:type="table" w:styleId="731">
    <w:name w:val="Table Grid"/>
    <w:basedOn w:val="715"/>
    <w:uiPriority w:val="3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732" w:customStyle="1">
    <w:name w:val="Пункт"/>
    <w:basedOn w:val="708"/>
    <w:pPr>
      <w:numPr>
        <w:ilvl w:val="2"/>
        <w:numId w:val="1"/>
      </w:numPr>
      <w:pBdr/>
      <w:spacing/>
      <w:ind/>
    </w:pPr>
  </w:style>
  <w:style w:type="paragraph" w:styleId="733" w:customStyle="1">
    <w:name w:val="Подпункт"/>
    <w:basedOn w:val="732"/>
    <w:pPr>
      <w:numPr>
        <w:ilvl w:val="3"/>
      </w:numPr>
      <w:pBdr/>
      <w:spacing/>
      <w:ind/>
    </w:pPr>
  </w:style>
  <w:style w:type="paragraph" w:styleId="734" w:customStyle="1">
    <w:name w:val="Подподпункт"/>
    <w:basedOn w:val="733"/>
    <w:pPr>
      <w:numPr>
        <w:ilvl w:val="4"/>
      </w:numPr>
      <w:pBdr/>
      <w:spacing/>
      <w:ind/>
    </w:pPr>
  </w:style>
  <w:style w:type="paragraph" w:styleId="735">
    <w:name w:val="Normal (Web)"/>
    <w:basedOn w:val="708"/>
    <w:uiPriority w:val="99"/>
    <w:qFormat/>
    <w:pPr>
      <w:pBdr/>
      <w:spacing w:after="100" w:afterAutospacing="1" w:before="100" w:beforeAutospacing="1" w:line="240" w:lineRule="auto"/>
      <w:ind w:firstLine="0"/>
      <w:jc w:val="left"/>
    </w:pPr>
    <w:rPr>
      <w:color w:val="000000"/>
      <w:sz w:val="24"/>
      <w:szCs w:val="24"/>
    </w:rPr>
  </w:style>
  <w:style w:type="paragraph" w:styleId="736" w:customStyle="1">
    <w:name w:val="ConsPlusNormal"/>
    <w:pPr>
      <w:widowControl w:val="false"/>
      <w:pBdr/>
      <w:spacing w:after="0" w:line="240" w:lineRule="auto"/>
      <w:ind w:firstLine="720"/>
    </w:pPr>
    <w:rPr>
      <w:rFonts w:ascii="Arial" w:hAnsi="Arial" w:eastAsia="Times New Roman" w:cs="Arial"/>
      <w:sz w:val="20"/>
      <w:szCs w:val="20"/>
      <w:lang w:eastAsia="ru-RU"/>
    </w:rPr>
  </w:style>
  <w:style w:type="paragraph" w:styleId="737">
    <w:name w:val="No Spacing"/>
    <w:link w:val="742"/>
    <w:uiPriority w:val="1"/>
    <w:qFormat/>
    <w:pPr>
      <w:pBdr/>
      <w:spacing w:after="0" w:line="240" w:lineRule="auto"/>
      <w:ind/>
    </w:pPr>
    <w:rPr>
      <w:rFonts w:ascii="Calibri" w:hAnsi="Calibri" w:eastAsia="Calibri" w:cs="Times New Roman"/>
    </w:rPr>
  </w:style>
  <w:style w:type="character" w:styleId="738">
    <w:name w:val="Strong"/>
    <w:basedOn w:val="714"/>
    <w:uiPriority w:val="22"/>
    <w:qFormat/>
    <w:pPr>
      <w:pBdr/>
      <w:spacing/>
      <w:ind/>
    </w:pPr>
    <w:rPr>
      <w:b/>
      <w:bCs/>
    </w:rPr>
  </w:style>
  <w:style w:type="character" w:styleId="739" w:customStyle="1">
    <w:name w:val="Основной шрифт абзаца1"/>
    <w:pPr>
      <w:pBdr/>
      <w:spacing/>
      <w:ind/>
    </w:pPr>
  </w:style>
  <w:style w:type="character" w:styleId="740" w:customStyle="1">
    <w:name w:val="Основной текст Знак"/>
    <w:pPr>
      <w:pBdr/>
      <w:spacing/>
      <w:ind/>
    </w:pPr>
    <w:rPr>
      <w:rFonts w:ascii="Times New Roman" w:hAnsi="Times New Roman" w:eastAsia="Times New Roman" w:cs="Times New Roman"/>
      <w:sz w:val="28"/>
      <w:szCs w:val="20"/>
      <w:lang w:val="en-US"/>
    </w:rPr>
  </w:style>
  <w:style w:type="character" w:styleId="741" w:customStyle="1">
    <w:name w:val="Основной текст (2) + 11 pt;Не полужирный"/>
    <w:pPr>
      <w:pBdr/>
      <w:spacing/>
      <w:ind/>
    </w:pPr>
    <w:rPr>
      <w:rFonts w:ascii="Times New Roman" w:hAnsi="Times New Roman" w:eastAsia="Times New Roman" w:cs="Times New Roman"/>
      <w:b/>
      <w:bCs/>
      <w:i w:val="0"/>
      <w:iCs w:val="0"/>
      <w:caps w:val="0"/>
      <w:smallCaps w:val="0"/>
      <w:strike w:val="0"/>
      <w:color w:val="000000"/>
      <w:spacing w:val="0"/>
      <w:position w:val="0"/>
      <w:sz w:val="22"/>
      <w:szCs w:val="22"/>
      <w:u w:val="none"/>
      <w:vertAlign w:val="baseline"/>
      <w:lang w:val="ru-RU" w:eastAsia="ru-RU" w:bidi="ru-RU"/>
    </w:rPr>
  </w:style>
  <w:style w:type="character" w:styleId="742" w:customStyle="1">
    <w:name w:val="Без интервала Знак"/>
    <w:link w:val="737"/>
    <w:uiPriority w:val="1"/>
    <w:pPr>
      <w:pBdr/>
      <w:spacing/>
      <w:ind/>
    </w:pPr>
    <w:rPr>
      <w:rFonts w:ascii="Calibri" w:hAnsi="Calibri" w:eastAsia="Calibri" w:cs="Times New Roman"/>
    </w:rPr>
  </w:style>
  <w:style w:type="character" w:styleId="743" w:customStyle="1">
    <w:name w:val="WW8Num1z3"/>
    <w:pPr>
      <w:pBdr/>
      <w:spacing/>
      <w:ind/>
    </w:pPr>
  </w:style>
  <w:style w:type="character" w:styleId="744" w:customStyle="1">
    <w:name w:val="Текст выноски Знак"/>
    <w:pPr>
      <w:pBdr/>
      <w:spacing/>
      <w:ind/>
    </w:pPr>
    <w:rPr>
      <w:rFonts w:ascii="Segoe UI" w:hAnsi="Segoe UI" w:eastAsia="Times New Roman" w:cs="Segoe UI"/>
      <w:sz w:val="18"/>
      <w:szCs w:val="18"/>
    </w:rPr>
  </w:style>
  <w:style w:type="character" w:styleId="745" w:customStyle="1">
    <w:name w:val="math-template"/>
    <w:basedOn w:val="739"/>
    <w:pPr>
      <w:pBdr/>
      <w:spacing/>
      <w:ind/>
    </w:pPr>
  </w:style>
  <w:style w:type="character" w:styleId="746" w:customStyle="1">
    <w:name w:val="ListLabel 1"/>
    <w:pPr>
      <w:pBdr/>
      <w:spacing/>
      <w:ind/>
    </w:pPr>
    <w:rPr>
      <w:sz w:val="28"/>
      <w:szCs w:val="28"/>
    </w:rPr>
  </w:style>
  <w:style w:type="character" w:styleId="747" w:customStyle="1">
    <w:name w:val="ListLabel 2"/>
    <w:pPr>
      <w:pBdr/>
      <w:spacing/>
      <w:ind/>
    </w:pPr>
    <w:rPr>
      <w:b w:val="0"/>
      <w:bCs/>
      <w:i w:val="0"/>
      <w:caps w:val="0"/>
      <w:smallCaps w:val="0"/>
      <w:strike w:val="0"/>
      <w:color w:val="00000a"/>
      <w:spacing w:val="0"/>
      <w:position w:val="0"/>
      <w:sz w:val="24"/>
      <w:u w:val="none"/>
      <w:vertAlign w:val="baseline"/>
    </w:rPr>
  </w:style>
  <w:style w:type="character" w:styleId="748" w:customStyle="1">
    <w:name w:val="ListLabel 3"/>
    <w:pPr>
      <w:pBdr/>
      <w:spacing/>
      <w:ind/>
    </w:pPr>
    <w:rPr>
      <w:b w:val="0"/>
      <w:i w:val="0"/>
      <w:color w:val="00000a"/>
    </w:rPr>
  </w:style>
  <w:style w:type="character" w:styleId="749" w:customStyle="1">
    <w:name w:val="ListLabel 4"/>
    <w:pPr>
      <w:pBdr/>
      <w:spacing/>
      <w:ind/>
    </w:pPr>
    <w:rPr>
      <w:b w:val="0"/>
      <w:i w:val="0"/>
    </w:rPr>
  </w:style>
  <w:style w:type="paragraph" w:styleId="750" w:customStyle="1">
    <w:name w:val="Заголовок1"/>
    <w:basedOn w:val="708"/>
    <w:next w:val="751"/>
    <w:pPr>
      <w:keepNext w:val="true"/>
      <w:pBdr/>
      <w:spacing w:after="120" w:before="240"/>
      <w:ind/>
    </w:pPr>
    <w:rPr>
      <w:rFonts w:ascii="Arial" w:hAnsi="Arial" w:eastAsia="Microsoft YaHei" w:cs="Mangal"/>
      <w:szCs w:val="28"/>
      <w:lang w:eastAsia="ar-SA"/>
    </w:rPr>
  </w:style>
  <w:style w:type="paragraph" w:styleId="751">
    <w:name w:val="Body Text"/>
    <w:basedOn w:val="708"/>
    <w:link w:val="752"/>
    <w:pPr>
      <w:pBdr/>
      <w:spacing w:after="120"/>
      <w:ind/>
    </w:pPr>
    <w:rPr>
      <w:lang w:val="en-US" w:eastAsia="ar-SA"/>
    </w:rPr>
  </w:style>
  <w:style w:type="character" w:styleId="752" w:customStyle="1">
    <w:name w:val="Основной текст Знак1"/>
    <w:basedOn w:val="714"/>
    <w:link w:val="751"/>
    <w:pPr>
      <w:pBdr/>
      <w:spacing/>
      <w:ind/>
    </w:pPr>
    <w:rPr>
      <w:rFonts w:ascii="Times New Roman" w:hAnsi="Times New Roman" w:eastAsia="Times New Roman" w:cs="Times New Roman"/>
      <w:sz w:val="28"/>
      <w:szCs w:val="20"/>
      <w:lang w:val="en-US" w:eastAsia="ar-SA"/>
    </w:rPr>
  </w:style>
  <w:style w:type="paragraph" w:styleId="753">
    <w:name w:val="List"/>
    <w:basedOn w:val="751"/>
    <w:pPr>
      <w:pBdr/>
      <w:spacing/>
      <w:ind/>
    </w:pPr>
    <w:rPr>
      <w:rFonts w:cs="Mangal"/>
    </w:rPr>
  </w:style>
  <w:style w:type="paragraph" w:styleId="754" w:customStyle="1">
    <w:name w:val="Название1"/>
    <w:basedOn w:val="708"/>
    <w:pPr>
      <w:suppressLineNumbers w:val="true"/>
      <w:pBdr/>
      <w:spacing w:after="120" w:before="120"/>
      <w:ind/>
    </w:pPr>
    <w:rPr>
      <w:rFonts w:cs="Mangal"/>
      <w:i/>
      <w:iCs/>
      <w:sz w:val="24"/>
      <w:szCs w:val="24"/>
      <w:lang w:eastAsia="ar-SA"/>
    </w:rPr>
  </w:style>
  <w:style w:type="paragraph" w:styleId="755" w:customStyle="1">
    <w:name w:val="Указатель1"/>
    <w:basedOn w:val="708"/>
    <w:pPr>
      <w:suppressLineNumbers w:val="true"/>
      <w:pBdr/>
      <w:spacing/>
      <w:ind/>
    </w:pPr>
    <w:rPr>
      <w:rFonts w:cs="Mangal"/>
      <w:lang w:eastAsia="ar-SA"/>
    </w:rPr>
  </w:style>
  <w:style w:type="paragraph" w:styleId="756" w:customStyle="1">
    <w:name w:val="Обычный (веб)1"/>
    <w:basedOn w:val="708"/>
    <w:pPr>
      <w:pBdr/>
      <w:spacing w:after="100" w:before="100" w:line="100" w:lineRule="atLeast"/>
      <w:ind w:firstLine="0"/>
      <w:jc w:val="left"/>
    </w:pPr>
    <w:rPr>
      <w:color w:val="000000"/>
      <w:sz w:val="24"/>
      <w:szCs w:val="24"/>
      <w:lang w:eastAsia="ar-SA"/>
    </w:rPr>
  </w:style>
  <w:style w:type="paragraph" w:styleId="757" w:customStyle="1">
    <w:name w:val="Îáû÷íûé"/>
    <w:pPr>
      <w:pBdr/>
      <w:spacing w:after="0" w:line="100" w:lineRule="atLeast"/>
      <w:ind/>
    </w:pPr>
    <w:rPr>
      <w:rFonts w:ascii="Times New Roman" w:hAnsi="Times New Roman" w:eastAsia="Times New Roman" w:cs="Times New Roman"/>
      <w:sz w:val="20"/>
      <w:szCs w:val="20"/>
      <w:lang w:eastAsia="ar-SA"/>
    </w:rPr>
  </w:style>
  <w:style w:type="paragraph" w:styleId="758" w:customStyle="1">
    <w:name w:val="Без интервала1"/>
    <w:qFormat/>
    <w:pPr>
      <w:pBdr/>
      <w:spacing w:after="0" w:line="100" w:lineRule="atLeast"/>
      <w:ind/>
    </w:pPr>
    <w:rPr>
      <w:rFonts w:ascii="Calibri" w:hAnsi="Calibri" w:eastAsia="Calibri" w:cs="Times New Roman"/>
      <w:lang w:eastAsia="ar-SA"/>
    </w:rPr>
  </w:style>
  <w:style w:type="paragraph" w:styleId="759" w:customStyle="1">
    <w:name w:val="1CStyle7"/>
    <w:pPr>
      <w:pBdr/>
      <w:spacing/>
      <w:ind/>
      <w:jc w:val="right"/>
    </w:pPr>
    <w:rPr>
      <w:rFonts w:ascii="Calibri" w:hAnsi="Calibri" w:eastAsia="SimSun" w:cs="Calibri"/>
      <w:lang w:eastAsia="ar-SA"/>
    </w:rPr>
  </w:style>
  <w:style w:type="paragraph" w:styleId="760" w:customStyle="1">
    <w:name w:val="Текст выноски1"/>
    <w:basedOn w:val="708"/>
    <w:pPr>
      <w:pBdr/>
      <w:spacing w:line="100" w:lineRule="atLeast"/>
      <w:ind/>
    </w:pPr>
    <w:rPr>
      <w:rFonts w:ascii="Segoe UI" w:hAnsi="Segoe UI" w:cs="Segoe UI"/>
      <w:sz w:val="18"/>
      <w:szCs w:val="18"/>
      <w:lang w:eastAsia="ar-SA"/>
    </w:rPr>
  </w:style>
  <w:style w:type="paragraph" w:styleId="761">
    <w:name w:val="Balloon Text"/>
    <w:basedOn w:val="708"/>
    <w:link w:val="762"/>
    <w:uiPriority w:val="99"/>
    <w:semiHidden/>
    <w:unhideWhenUsed/>
    <w:pPr>
      <w:pBdr/>
      <w:spacing w:line="240" w:lineRule="auto"/>
      <w:ind/>
    </w:pPr>
    <w:rPr>
      <w:rFonts w:ascii="Segoe UI" w:hAnsi="Segoe UI" w:cs="Segoe UI"/>
      <w:sz w:val="18"/>
      <w:szCs w:val="18"/>
      <w:lang w:eastAsia="ar-SA"/>
    </w:rPr>
  </w:style>
  <w:style w:type="character" w:styleId="762" w:customStyle="1">
    <w:name w:val="Текст выноски Знак1"/>
    <w:basedOn w:val="714"/>
    <w:link w:val="761"/>
    <w:uiPriority w:val="99"/>
    <w:semiHidden/>
    <w:pPr>
      <w:pBdr/>
      <w:spacing/>
      <w:ind/>
    </w:pPr>
    <w:rPr>
      <w:rFonts w:ascii="Segoe UI" w:hAnsi="Segoe UI" w:eastAsia="Times New Roman" w:cs="Segoe UI"/>
      <w:sz w:val="18"/>
      <w:szCs w:val="18"/>
      <w:lang w:eastAsia="ar-SA"/>
    </w:rPr>
  </w:style>
  <w:style w:type="paragraph" w:styleId="763" w:customStyle="1">
    <w:name w:val="Содержимое таблицы"/>
    <w:basedOn w:val="708"/>
    <w:pPr>
      <w:widowControl w:val="false"/>
      <w:suppressLineNumbers w:val="true"/>
      <w:pBdr/>
      <w:spacing w:line="240" w:lineRule="auto"/>
      <w:ind w:firstLine="0"/>
      <w:jc w:val="left"/>
    </w:pPr>
    <w:rPr>
      <w:rFonts w:eastAsia="Andale Sans UI"/>
      <w:sz w:val="24"/>
      <w:szCs w:val="24"/>
      <w:lang w:eastAsia="ar-SA"/>
    </w:rPr>
  </w:style>
  <w:style w:type="numbering" w:styleId="764" w:customStyle="1">
    <w:name w:val="Нет списка1"/>
    <w:next w:val="716"/>
    <w:uiPriority w:val="99"/>
    <w:semiHidden/>
    <w:unhideWhenUsed/>
    <w:pPr>
      <w:pBdr/>
      <w:spacing/>
      <w:ind/>
    </w:pPr>
  </w:style>
  <w:style w:type="paragraph" w:styleId="765">
    <w:name w:val="HTML Preformatted"/>
    <w:basedOn w:val="708"/>
    <w:link w:val="766"/>
    <w:semiHidden/>
    <w:unhideWhenUsed/>
    <w:pPr>
      <w:pBdr/>
      <w:tabs>
        <w:tab w:val="left" w:leader="none" w:pos="916"/>
        <w:tab w:val="left" w:leader="none" w:pos="1832"/>
        <w:tab w:val="left" w:leader="none" w:pos="2748"/>
        <w:tab w:val="left" w:leader="none" w:pos="3664"/>
        <w:tab w:val="left" w:leader="none" w:pos="4580"/>
        <w:tab w:val="left" w:leader="none" w:pos="5496"/>
        <w:tab w:val="left" w:leader="none" w:pos="6412"/>
        <w:tab w:val="left" w:leader="none" w:pos="7328"/>
        <w:tab w:val="left" w:leader="none" w:pos="8244"/>
        <w:tab w:val="left" w:leader="none" w:pos="9160"/>
        <w:tab w:val="left" w:leader="none" w:pos="10076"/>
        <w:tab w:val="left" w:leader="none" w:pos="10992"/>
        <w:tab w:val="left" w:leader="none" w:pos="11908"/>
        <w:tab w:val="left" w:leader="none" w:pos="12824"/>
        <w:tab w:val="left" w:leader="none" w:pos="13740"/>
        <w:tab w:val="left" w:leader="none" w:pos="14656"/>
      </w:tabs>
      <w:spacing w:line="240" w:lineRule="auto"/>
      <w:ind w:firstLine="0"/>
      <w:jc w:val="left"/>
    </w:pPr>
    <w:rPr>
      <w:rFonts w:ascii="Courier New" w:hAnsi="Courier New" w:cs="Courier New"/>
      <w:color w:val="000000"/>
      <w:sz w:val="20"/>
    </w:rPr>
  </w:style>
  <w:style w:type="character" w:styleId="766" w:customStyle="1">
    <w:name w:val="Стандартный HTML Знак"/>
    <w:basedOn w:val="714"/>
    <w:link w:val="765"/>
    <w:semiHidden/>
    <w:pPr>
      <w:pBdr/>
      <w:spacing/>
      <w:ind/>
    </w:pPr>
    <w:rPr>
      <w:rFonts w:ascii="Courier New" w:hAnsi="Courier New" w:eastAsia="Times New Roman" w:cs="Courier New"/>
      <w:color w:val="000000"/>
      <w:sz w:val="20"/>
      <w:szCs w:val="20"/>
      <w:lang w:eastAsia="ru-RU"/>
    </w:rPr>
  </w:style>
  <w:style w:type="character" w:styleId="767">
    <w:name w:val="HTML Code"/>
    <w:uiPriority w:val="99"/>
    <w:unhideWhenUsed/>
    <w:pPr>
      <w:pBdr/>
      <w:spacing/>
      <w:ind/>
    </w:pPr>
    <w:rPr>
      <w:rFonts w:ascii="Courier New" w:hAnsi="Courier New" w:eastAsia="Times New Roman" w:cs="Courier New"/>
      <w:sz w:val="20"/>
      <w:szCs w:val="20"/>
    </w:rPr>
  </w:style>
  <w:style w:type="paragraph" w:styleId="768">
    <w:name w:val="Header"/>
    <w:basedOn w:val="708"/>
    <w:link w:val="769"/>
    <w:uiPriority w:val="99"/>
    <w:unhideWhenUsed/>
    <w:pPr>
      <w:pBdr/>
      <w:tabs>
        <w:tab w:val="center" w:leader="none" w:pos="4677"/>
        <w:tab w:val="right" w:leader="none" w:pos="9355"/>
      </w:tabs>
      <w:spacing/>
      <w:ind/>
    </w:pPr>
    <w:rPr>
      <w:lang w:eastAsia="ar-SA"/>
    </w:rPr>
  </w:style>
  <w:style w:type="character" w:styleId="769" w:customStyle="1">
    <w:name w:val="Верхний колонтитул Знак"/>
    <w:basedOn w:val="714"/>
    <w:link w:val="768"/>
    <w:uiPriority w:val="99"/>
    <w:pPr>
      <w:pBdr/>
      <w:spacing/>
      <w:ind/>
    </w:pPr>
    <w:rPr>
      <w:rFonts w:ascii="Times New Roman" w:hAnsi="Times New Roman" w:eastAsia="Times New Roman" w:cs="Times New Roman"/>
      <w:sz w:val="28"/>
      <w:szCs w:val="20"/>
      <w:lang w:eastAsia="ar-SA"/>
    </w:rPr>
  </w:style>
  <w:style w:type="paragraph" w:styleId="770">
    <w:name w:val="Footer"/>
    <w:basedOn w:val="708"/>
    <w:link w:val="771"/>
    <w:uiPriority w:val="99"/>
    <w:unhideWhenUsed/>
    <w:pPr>
      <w:pBdr/>
      <w:tabs>
        <w:tab w:val="center" w:leader="none" w:pos="4677"/>
        <w:tab w:val="right" w:leader="none" w:pos="9355"/>
      </w:tabs>
      <w:spacing/>
      <w:ind/>
    </w:pPr>
    <w:rPr>
      <w:lang w:eastAsia="ar-SA"/>
    </w:rPr>
  </w:style>
  <w:style w:type="character" w:styleId="771" w:customStyle="1">
    <w:name w:val="Нижний колонтитул Знак"/>
    <w:basedOn w:val="714"/>
    <w:link w:val="770"/>
    <w:uiPriority w:val="99"/>
    <w:pPr>
      <w:pBdr/>
      <w:spacing/>
      <w:ind/>
    </w:pPr>
    <w:rPr>
      <w:rFonts w:ascii="Times New Roman" w:hAnsi="Times New Roman" w:eastAsia="Times New Roman" w:cs="Times New Roman"/>
      <w:sz w:val="28"/>
      <w:szCs w:val="20"/>
      <w:lang w:eastAsia="ar-SA"/>
    </w:rPr>
  </w:style>
  <w:style w:type="paragraph" w:styleId="772">
    <w:name w:val="Body Text 2"/>
    <w:basedOn w:val="708"/>
    <w:link w:val="773"/>
    <w:uiPriority w:val="99"/>
    <w:semiHidden/>
    <w:unhideWhenUsed/>
    <w:pPr>
      <w:pBdr/>
      <w:spacing w:after="120" w:line="480" w:lineRule="auto"/>
      <w:ind/>
    </w:pPr>
    <w:rPr>
      <w:lang w:eastAsia="ar-SA"/>
    </w:rPr>
  </w:style>
  <w:style w:type="character" w:styleId="773" w:customStyle="1">
    <w:name w:val="Основной текст 2 Знак"/>
    <w:basedOn w:val="714"/>
    <w:link w:val="772"/>
    <w:uiPriority w:val="99"/>
    <w:semiHidden/>
    <w:pPr>
      <w:pBdr/>
      <w:spacing/>
      <w:ind/>
    </w:pPr>
    <w:rPr>
      <w:rFonts w:ascii="Times New Roman" w:hAnsi="Times New Roman" w:eastAsia="Times New Roman" w:cs="Times New Roman"/>
      <w:sz w:val="28"/>
      <w:szCs w:val="20"/>
      <w:lang w:eastAsia="ar-SA"/>
    </w:rPr>
  </w:style>
  <w:style w:type="character" w:styleId="774" w:customStyle="1">
    <w:name w:val="WW8Num3z8"/>
    <w:pPr>
      <w:pBdr/>
      <w:spacing/>
      <w:ind/>
    </w:pPr>
  </w:style>
  <w:style w:type="paragraph" w:styleId="775" w:customStyle="1">
    <w:name w:val="Обычный (веб)2"/>
    <w:basedOn w:val="708"/>
    <w:pPr>
      <w:pBdr/>
      <w:spacing w:after="119" w:before="100" w:line="100" w:lineRule="atLeast"/>
      <w:ind w:firstLine="0"/>
      <w:jc w:val="left"/>
    </w:pPr>
    <w:rPr>
      <w:sz w:val="24"/>
      <w:szCs w:val="24"/>
      <w:lang w:eastAsia="ar-SA"/>
    </w:rPr>
  </w:style>
  <w:style w:type="paragraph" w:styleId="776" w:customStyle="1">
    <w:name w:val="Без интервала4"/>
    <w:pPr>
      <w:widowControl w:val="false"/>
      <w:pBdr/>
      <w:spacing w:after="0" w:line="100" w:lineRule="atLeast"/>
      <w:ind/>
    </w:pPr>
    <w:rPr>
      <w:rFonts w:ascii="Times New Roman" w:hAnsi="Times New Roman" w:eastAsia="Calibri" w:cs="Times New Roman"/>
      <w:sz w:val="20"/>
      <w:szCs w:val="20"/>
      <w:lang w:eastAsia="ar-SA"/>
    </w:rPr>
  </w:style>
  <w:style w:type="character" w:styleId="777" w:customStyle="1">
    <w:name w:val="Пункт Знак"/>
    <w:pPr>
      <w:pBdr/>
      <w:spacing/>
      <w:ind/>
    </w:pPr>
    <w:rPr>
      <w:sz w:val="28"/>
      <w:lang w:val="ru-RU" w:eastAsia="ru-RU" w:bidi="ar-SA"/>
    </w:rPr>
  </w:style>
  <w:style w:type="character" w:styleId="778" w:customStyle="1">
    <w:name w:val="breads-item-current"/>
    <w:basedOn w:val="714"/>
    <w:pPr>
      <w:pBdr/>
      <w:spacing/>
      <w:ind/>
    </w:pPr>
  </w:style>
  <w:style w:type="character" w:styleId="779" w:customStyle="1">
    <w:name w:val="bxr-article-name"/>
    <w:basedOn w:val="714"/>
    <w:pPr>
      <w:pBdr/>
      <w:spacing/>
      <w:ind/>
    </w:pPr>
  </w:style>
  <w:style w:type="character" w:styleId="780" w:customStyle="1">
    <w:name w:val="bxr-article-value"/>
    <w:basedOn w:val="714"/>
    <w:pPr>
      <w:pBdr/>
      <w:spacing/>
      <w:ind/>
    </w:pPr>
  </w:style>
  <w:style w:type="character" w:styleId="781" w:customStyle="1">
    <w:name w:val="js-article"/>
    <w:basedOn w:val="714"/>
    <w:pPr>
      <w:pBdr/>
      <w:spacing/>
      <w:ind/>
    </w:pPr>
  </w:style>
  <w:style w:type="character" w:styleId="782" w:customStyle="1">
    <w:name w:val="apple-converted-space"/>
    <w:basedOn w:val="714"/>
    <w:qFormat/>
    <w:pPr>
      <w:pBdr/>
      <w:spacing/>
      <w:ind/>
    </w:pPr>
  </w:style>
  <w:style w:type="paragraph" w:styleId="783" w:customStyle="1">
    <w:name w:val="Заголовок1"/>
    <w:basedOn w:val="708"/>
    <w:next w:val="751"/>
    <w:pPr>
      <w:keepNext w:val="true"/>
      <w:pBdr/>
      <w:spacing w:after="120" w:before="240"/>
      <w:ind/>
    </w:pPr>
    <w:rPr>
      <w:rFonts w:ascii="Arial" w:hAnsi="Arial" w:eastAsia="Microsoft YaHei" w:cs="Mangal"/>
      <w:szCs w:val="28"/>
      <w:lang w:eastAsia="ar-SA"/>
    </w:rPr>
  </w:style>
  <w:style w:type="paragraph" w:styleId="784" w:customStyle="1">
    <w:name w:val="Без интервала2"/>
    <w:pPr>
      <w:pBdr/>
      <w:spacing w:after="0" w:line="100" w:lineRule="atLeast"/>
      <w:ind/>
    </w:pPr>
    <w:rPr>
      <w:rFonts w:ascii="Calibri" w:hAnsi="Calibri" w:eastAsia="Calibri" w:cs="Times New Roman"/>
      <w:lang w:eastAsia="ar-SA"/>
    </w:rPr>
  </w:style>
  <w:style w:type="paragraph" w:styleId="785">
    <w:name w:val="List Paragraph"/>
    <w:basedOn w:val="708"/>
    <w:link w:val="794"/>
    <w:uiPriority w:val="34"/>
    <w:qFormat/>
    <w:pPr>
      <w:pBdr/>
      <w:spacing/>
      <w:ind w:left="720"/>
      <w:contextualSpacing w:val="true"/>
    </w:pPr>
  </w:style>
  <w:style w:type="paragraph" w:styleId="786" w:customStyle="1">
    <w:name w:val="Основной текст 21"/>
    <w:basedOn w:val="708"/>
    <w:uiPriority w:val="99"/>
    <w:pPr>
      <w:widowControl w:val="false"/>
      <w:pBdr/>
      <w:spacing w:line="240" w:lineRule="auto"/>
      <w:ind w:firstLine="0"/>
    </w:pPr>
    <w:rPr>
      <w:rFonts w:ascii="Cambria" w:hAnsi="Cambria" w:eastAsia="Cambria" w:cs="Cambria"/>
      <w:sz w:val="24"/>
      <w:szCs w:val="18"/>
      <w:lang w:eastAsia="ar-SA"/>
    </w:rPr>
  </w:style>
  <w:style w:type="character" w:styleId="787" w:customStyle="1">
    <w:name w:val="fontstyle01"/>
    <w:pPr>
      <w:pBdr/>
      <w:spacing/>
      <w:ind/>
    </w:pPr>
    <w:rPr>
      <w:rFonts w:hint="default" w:ascii="TimesNewRomanPSMT" w:hAnsi="TimesNewRomanPSMT"/>
      <w:b w:val="0"/>
      <w:bCs w:val="0"/>
      <w:i w:val="0"/>
      <w:iCs w:val="0"/>
      <w:color w:val="000000"/>
      <w:sz w:val="28"/>
      <w:szCs w:val="28"/>
    </w:rPr>
  </w:style>
  <w:style w:type="character" w:styleId="788" w:customStyle="1">
    <w:name w:val="fontstyle21"/>
    <w:pPr>
      <w:pBdr/>
      <w:spacing/>
      <w:ind/>
    </w:pPr>
    <w:rPr>
      <w:rFonts w:hint="default" w:ascii="TimesNewRomanPS-BoldMT" w:hAnsi="TimesNewRomanPS-BoldMT"/>
      <w:b/>
      <w:bCs/>
      <w:i w:val="0"/>
      <w:iCs w:val="0"/>
      <w:color w:val="000000"/>
      <w:sz w:val="28"/>
      <w:szCs w:val="28"/>
    </w:rPr>
  </w:style>
  <w:style w:type="character" w:styleId="789" w:customStyle="1">
    <w:name w:val="Название объекта1"/>
    <w:basedOn w:val="714"/>
    <w:pPr>
      <w:pBdr/>
      <w:spacing/>
      <w:ind/>
    </w:pPr>
  </w:style>
  <w:style w:type="character" w:styleId="790" w:customStyle="1">
    <w:name w:val="copy-code-product"/>
    <w:basedOn w:val="714"/>
    <w:pPr>
      <w:pBdr/>
      <w:spacing/>
      <w:ind/>
    </w:pPr>
  </w:style>
  <w:style w:type="character" w:styleId="791" w:customStyle="1">
    <w:name w:val="dtm-analytics-breadcrumb-text"/>
    <w:basedOn w:val="714"/>
    <w:pPr>
      <w:pBdr/>
      <w:spacing/>
      <w:ind/>
    </w:pPr>
  </w:style>
  <w:style w:type="paragraph" w:styleId="792" w:customStyle="1">
    <w:name w:val="card-features__features-item"/>
    <w:basedOn w:val="708"/>
    <w:pPr>
      <w:pBdr/>
      <w:spacing w:after="100" w:afterAutospacing="1" w:before="100" w:beforeAutospacing="1" w:line="240" w:lineRule="auto"/>
      <w:ind w:firstLine="0"/>
      <w:jc w:val="left"/>
    </w:pPr>
    <w:rPr>
      <w:sz w:val="24"/>
      <w:szCs w:val="24"/>
    </w:rPr>
  </w:style>
  <w:style w:type="paragraph" w:styleId="793" w:customStyle="1">
    <w:name w:val="card-features__features-item-desc"/>
    <w:basedOn w:val="708"/>
    <w:pPr>
      <w:pBdr/>
      <w:spacing w:after="100" w:afterAutospacing="1" w:before="100" w:beforeAutospacing="1" w:line="240" w:lineRule="auto"/>
      <w:ind w:firstLine="0"/>
      <w:jc w:val="left"/>
    </w:pPr>
    <w:rPr>
      <w:sz w:val="24"/>
      <w:szCs w:val="24"/>
    </w:rPr>
  </w:style>
  <w:style w:type="character" w:styleId="794" w:customStyle="1">
    <w:name w:val="Абзац списка Знак"/>
    <w:link w:val="785"/>
    <w:uiPriority w:val="34"/>
    <w:pPr>
      <w:pBdr/>
      <w:spacing/>
      <w:ind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795" w:customStyle="1">
    <w:name w:val="Заголовок 3 Знак"/>
    <w:basedOn w:val="714"/>
    <w:link w:val="711"/>
    <w:uiPriority w:val="9"/>
    <w:semiHidden/>
    <w:pPr>
      <w:pBdr/>
      <w:spacing/>
      <w:ind/>
    </w:pPr>
    <w:rPr>
      <w:rFonts w:asciiTheme="majorHAnsi" w:hAnsiTheme="majorHAnsi" w:eastAsiaTheme="majorEastAsia" w:cstheme="majorBidi"/>
      <w:b/>
      <w:bCs/>
      <w:color w:val="4f81bd" w:themeColor="accent1"/>
      <w:sz w:val="28"/>
      <w:szCs w:val="20"/>
      <w:lang w:eastAsia="ru-RU"/>
    </w:rPr>
  </w:style>
  <w:style w:type="table" w:styleId="796" w:customStyle="1">
    <w:name w:val="Сетка таблицы1"/>
    <w:basedOn w:val="715"/>
    <w:next w:val="731"/>
    <w:uiPriority w:val="3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https://axiomadent.ru/" TargetMode="External"/><Relationship Id="rId11" Type="http://schemas.openxmlformats.org/officeDocument/2006/relationships/hyperlink" Target="https://axiomadent.ru/" TargetMode="External"/><Relationship Id="rId12" Type="http://schemas.openxmlformats.org/officeDocument/2006/relationships/hyperlink" Target="https://axiomadent.ru/" TargetMode="External"/><Relationship Id="rId13" Type="http://schemas.openxmlformats.org/officeDocument/2006/relationships/hyperlink" Target="https://axiomadent.ru/" TargetMode="External"/><Relationship Id="rId14" Type="http://schemas.openxmlformats.org/officeDocument/2006/relationships/hyperlink" Target="https://axiomadent.ru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EC3E69-AC72-460E-A285-C3BE800A7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ONLYOFFICE/9.2.0.100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revision>20</cp:revision>
  <dcterms:created xsi:type="dcterms:W3CDTF">2025-06-11T09:34:00Z</dcterms:created>
  <dcterms:modified xsi:type="dcterms:W3CDTF">2026-04-29T11:57:45Z</dcterms:modified>
</cp:coreProperties>
</file>