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0A8" w:rsidRDefault="00EC3F44">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ТЕХНИЧЕСКОЕ ЗАДАНИЕ</w:t>
      </w:r>
    </w:p>
    <w:p w:rsidR="00B130A8" w:rsidRDefault="00B130A8">
      <w:pPr>
        <w:spacing w:after="0" w:line="240" w:lineRule="auto"/>
        <w:jc w:val="center"/>
        <w:rPr>
          <w:rFonts w:ascii="Times New Roman" w:eastAsia="Calibri" w:hAnsi="Times New Roman" w:cs="Times New Roman"/>
          <w:b/>
          <w:lang w:eastAsia="ru-RU"/>
        </w:rPr>
      </w:pPr>
    </w:p>
    <w:p w:rsidR="00B130A8" w:rsidRDefault="00EC3F44">
      <w:pPr>
        <w:shd w:val="clear" w:color="auto" w:fill="FFFFFF"/>
        <w:spacing w:after="0" w:line="240" w:lineRule="auto"/>
        <w:ind w:firstLine="708"/>
        <w:jc w:val="center"/>
        <w:rPr>
          <w:rFonts w:ascii="Times New Roman" w:hAnsi="Times New Roman"/>
          <w:b/>
        </w:rPr>
      </w:pPr>
      <w:r>
        <w:rPr>
          <w:rFonts w:ascii="Times New Roman" w:hAnsi="Times New Roman"/>
          <w:b/>
        </w:rPr>
        <w:t>На</w:t>
      </w:r>
      <w:r>
        <w:rPr>
          <w:rFonts w:ascii="Times New Roman" w:hAnsi="Times New Roman"/>
          <w:b/>
          <w:bCs/>
        </w:rPr>
        <w:t xml:space="preserve"> поставку сетевых видеокамер для автоматического распознавания лесных пожаров на территории лесного фонда Республики Дагестан </w:t>
      </w:r>
      <w:r>
        <w:rPr>
          <w:rFonts w:ascii="Times New Roman" w:hAnsi="Times New Roman"/>
          <w:b/>
        </w:rPr>
        <w:t>в рамках регионального проекта «Сохранение лесов» национального проекта «Экологическое благополучие».</w:t>
      </w:r>
    </w:p>
    <w:p w:rsidR="00B130A8" w:rsidRDefault="00B130A8">
      <w:pPr>
        <w:shd w:val="clear" w:color="auto" w:fill="FFFFFF"/>
        <w:spacing w:after="0" w:line="240" w:lineRule="auto"/>
        <w:ind w:firstLine="708"/>
        <w:jc w:val="center"/>
        <w:rPr>
          <w:rFonts w:ascii="Times New Roman" w:hAnsi="Times New Roman"/>
          <w:b/>
        </w:rPr>
      </w:pPr>
    </w:p>
    <w:p w:rsidR="00B130A8" w:rsidRDefault="00B130A8">
      <w:pPr>
        <w:shd w:val="clear" w:color="auto" w:fill="FFFFFF"/>
        <w:spacing w:after="0" w:line="240" w:lineRule="auto"/>
        <w:ind w:firstLine="708"/>
        <w:jc w:val="center"/>
        <w:rPr>
          <w:rFonts w:ascii="Times New Roman" w:hAnsi="Times New Roman"/>
          <w:b/>
        </w:rPr>
      </w:pPr>
    </w:p>
    <w:p w:rsidR="00B130A8" w:rsidRDefault="00EC3F44">
      <w:pPr>
        <w:numPr>
          <w:ilvl w:val="0"/>
          <w:numId w:val="1"/>
        </w:numPr>
        <w:shd w:val="clear" w:color="auto" w:fill="FFFFFF"/>
        <w:spacing w:after="0" w:line="240" w:lineRule="auto"/>
        <w:jc w:val="center"/>
        <w:rPr>
          <w:rFonts w:ascii="Times New Roman" w:hAnsi="Times New Roman"/>
          <w:b/>
          <w:spacing w:val="-1"/>
        </w:rPr>
      </w:pPr>
      <w:r>
        <w:rPr>
          <w:rFonts w:ascii="Times New Roman" w:hAnsi="Times New Roman"/>
          <w:b/>
          <w:spacing w:val="-1"/>
        </w:rPr>
        <w:t>Общие положения.</w:t>
      </w:r>
    </w:p>
    <w:p w:rsidR="00B130A8" w:rsidRDefault="00B130A8">
      <w:pPr>
        <w:shd w:val="clear" w:color="auto" w:fill="FFFFFF"/>
        <w:spacing w:after="0" w:line="240" w:lineRule="auto"/>
        <w:ind w:left="1068"/>
        <w:rPr>
          <w:rFonts w:ascii="Times New Roman" w:hAnsi="Times New Roman"/>
          <w:b/>
          <w:spacing w:val="-1"/>
        </w:rPr>
      </w:pPr>
    </w:p>
    <w:p w:rsidR="00B130A8" w:rsidRDefault="00EC3F44">
      <w:pPr>
        <w:suppressAutoHyphens/>
        <w:spacing w:after="0" w:line="240" w:lineRule="auto"/>
        <w:ind w:firstLine="709"/>
        <w:jc w:val="both"/>
        <w:rPr>
          <w:rFonts w:ascii="Times New Roman" w:eastAsia="Times New Roman" w:hAnsi="Times New Roman"/>
          <w:color w:val="000000"/>
          <w:lang w:eastAsia="ar-SA"/>
        </w:rPr>
      </w:pPr>
      <w:r>
        <w:rPr>
          <w:rFonts w:ascii="Times New Roman" w:eastAsia="Times New Roman" w:hAnsi="Times New Roman"/>
          <w:color w:val="000000"/>
          <w:lang w:eastAsia="ar-SA"/>
        </w:rPr>
        <w:t xml:space="preserve">Целями данной закупки является приобретение сетевых видеокамер для системы дистанционного мониторинга территории земель лесного фонда </w:t>
      </w:r>
      <w:r>
        <w:rPr>
          <w:rFonts w:ascii="Times New Roman" w:eastAsia="Times New Roman" w:hAnsi="Times New Roman"/>
          <w:bCs/>
          <w:color w:val="000000"/>
          <w:lang w:eastAsia="ar-SA"/>
        </w:rPr>
        <w:t>Республики Дагестан</w:t>
      </w:r>
      <w:r>
        <w:rPr>
          <w:rFonts w:ascii="Times New Roman" w:eastAsia="Times New Roman" w:hAnsi="Times New Roman"/>
          <w:color w:val="000000"/>
          <w:lang w:eastAsia="ar-SA"/>
        </w:rPr>
        <w:t>.</w:t>
      </w:r>
    </w:p>
    <w:p w:rsidR="00B130A8" w:rsidRDefault="00B130A8">
      <w:pPr>
        <w:shd w:val="clear" w:color="auto" w:fill="FFFFFF"/>
        <w:spacing w:after="0" w:line="240" w:lineRule="auto"/>
        <w:ind w:left="1068"/>
        <w:jc w:val="both"/>
        <w:rPr>
          <w:rFonts w:ascii="Times New Roman" w:hAnsi="Times New Roman"/>
          <w:spacing w:val="-1"/>
        </w:rPr>
      </w:pPr>
    </w:p>
    <w:p w:rsidR="00B130A8" w:rsidRDefault="00EC3F44">
      <w:pPr>
        <w:shd w:val="clear" w:color="auto" w:fill="FFFFFF"/>
        <w:spacing w:after="0" w:line="240" w:lineRule="auto"/>
        <w:ind w:firstLine="709"/>
        <w:jc w:val="both"/>
        <w:rPr>
          <w:rFonts w:ascii="Times New Roman" w:hAnsi="Times New Roman"/>
          <w:spacing w:val="-1"/>
        </w:rPr>
      </w:pPr>
      <w:r>
        <w:rPr>
          <w:rFonts w:ascii="Times New Roman" w:hAnsi="Times New Roman"/>
          <w:spacing w:val="-1"/>
        </w:rPr>
        <w:t>Источник финансирования: Субсидии Федерального бюджета Российской Федерации на 2026 год, предусмотренные по региональному проекту «Сохранение лесов» национальному проекту «Экологическое благополучие».</w:t>
      </w:r>
    </w:p>
    <w:p w:rsidR="00B130A8" w:rsidRDefault="00B130A8">
      <w:pPr>
        <w:shd w:val="clear" w:color="auto" w:fill="FFFFFF"/>
        <w:spacing w:after="0" w:line="240" w:lineRule="auto"/>
        <w:jc w:val="both"/>
        <w:rPr>
          <w:rFonts w:ascii="Times New Roman" w:hAnsi="Times New Roman"/>
          <w:spacing w:val="-1"/>
        </w:rPr>
      </w:pPr>
    </w:p>
    <w:p w:rsidR="00B130A8" w:rsidRDefault="00EC3F4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spacing w:val="-1"/>
          <w:lang w:eastAsia="ru-RU"/>
        </w:rPr>
      </w:pPr>
      <w:r>
        <w:rPr>
          <w:rFonts w:ascii="Times New Roman" w:eastAsia="Times New Roman" w:hAnsi="Times New Roman" w:cs="Times New Roman"/>
          <w:b/>
          <w:bCs/>
          <w:color w:val="000000"/>
          <w:lang w:eastAsia="ru-RU"/>
        </w:rPr>
        <w:t>Т</w:t>
      </w:r>
      <w:r>
        <w:rPr>
          <w:rFonts w:ascii="Times New Roman" w:eastAsia="Times New Roman" w:hAnsi="Times New Roman" w:cs="Times New Roman"/>
          <w:b/>
          <w:lang w:eastAsia="ru-RU"/>
        </w:rPr>
        <w:t>ребования к техническим и качественным характеристикам товара:</w:t>
      </w:r>
    </w:p>
    <w:tbl>
      <w:tblPr>
        <w:tblStyle w:val="a5"/>
        <w:tblW w:w="9464" w:type="dxa"/>
        <w:tblLayout w:type="fixed"/>
        <w:tblLook w:val="04A0" w:firstRow="1" w:lastRow="0" w:firstColumn="1" w:lastColumn="0" w:noHBand="0" w:noVBand="1"/>
      </w:tblPr>
      <w:tblGrid>
        <w:gridCol w:w="596"/>
        <w:gridCol w:w="1430"/>
        <w:gridCol w:w="1910"/>
        <w:gridCol w:w="1842"/>
        <w:gridCol w:w="1693"/>
        <w:gridCol w:w="1993"/>
      </w:tblGrid>
      <w:tr w:rsidR="00B130A8">
        <w:trPr>
          <w:trHeight w:val="345"/>
        </w:trPr>
        <w:tc>
          <w:tcPr>
            <w:tcW w:w="596" w:type="dxa"/>
            <w:vMerge w:val="restart"/>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 п/п</w:t>
            </w:r>
          </w:p>
        </w:tc>
        <w:tc>
          <w:tcPr>
            <w:tcW w:w="1430" w:type="dxa"/>
            <w:vMerge w:val="restart"/>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Код</w:t>
            </w:r>
          </w:p>
        </w:tc>
        <w:tc>
          <w:tcPr>
            <w:tcW w:w="1910" w:type="dxa"/>
            <w:vMerge w:val="restart"/>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Наименование</w:t>
            </w:r>
          </w:p>
        </w:tc>
        <w:tc>
          <w:tcPr>
            <w:tcW w:w="5528" w:type="dxa"/>
            <w:gridSpan w:val="3"/>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Национальный режим</w:t>
            </w:r>
          </w:p>
        </w:tc>
      </w:tr>
      <w:tr w:rsidR="00B130A8">
        <w:trPr>
          <w:trHeight w:val="345"/>
        </w:trPr>
        <w:tc>
          <w:tcPr>
            <w:tcW w:w="596" w:type="dxa"/>
            <w:vMerge/>
          </w:tcPr>
          <w:p w:rsidR="00B130A8" w:rsidRDefault="00B130A8">
            <w:pPr>
              <w:spacing w:after="0" w:line="240" w:lineRule="auto"/>
              <w:contextualSpacing/>
              <w:outlineLvl w:val="0"/>
              <w:rPr>
                <w:rFonts w:ascii="Times New Roman" w:hAnsi="Times New Roman" w:cs="Times New Roman"/>
                <w:b/>
                <w:bCs/>
              </w:rPr>
            </w:pPr>
          </w:p>
        </w:tc>
        <w:tc>
          <w:tcPr>
            <w:tcW w:w="1430" w:type="dxa"/>
            <w:vMerge/>
          </w:tcPr>
          <w:p w:rsidR="00B130A8" w:rsidRDefault="00B130A8">
            <w:pPr>
              <w:spacing w:after="0" w:line="240" w:lineRule="auto"/>
              <w:contextualSpacing/>
              <w:outlineLvl w:val="0"/>
              <w:rPr>
                <w:rFonts w:ascii="Times New Roman" w:hAnsi="Times New Roman" w:cs="Times New Roman"/>
                <w:b/>
                <w:bCs/>
              </w:rPr>
            </w:pPr>
          </w:p>
        </w:tc>
        <w:tc>
          <w:tcPr>
            <w:tcW w:w="1910" w:type="dxa"/>
            <w:vMerge/>
          </w:tcPr>
          <w:p w:rsidR="00B130A8" w:rsidRDefault="00B130A8">
            <w:pPr>
              <w:spacing w:after="0" w:line="240" w:lineRule="auto"/>
              <w:contextualSpacing/>
              <w:outlineLvl w:val="0"/>
              <w:rPr>
                <w:rFonts w:ascii="Times New Roman" w:hAnsi="Times New Roman" w:cs="Times New Roman"/>
                <w:b/>
                <w:bCs/>
              </w:rPr>
            </w:pPr>
          </w:p>
        </w:tc>
        <w:tc>
          <w:tcPr>
            <w:tcW w:w="1842" w:type="dxa"/>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1875 (Запрет)</w:t>
            </w:r>
          </w:p>
        </w:tc>
        <w:tc>
          <w:tcPr>
            <w:tcW w:w="1693" w:type="dxa"/>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1875 (Ограничение)</w:t>
            </w:r>
          </w:p>
        </w:tc>
        <w:tc>
          <w:tcPr>
            <w:tcW w:w="1993" w:type="dxa"/>
          </w:tcPr>
          <w:p w:rsidR="00B130A8" w:rsidRDefault="00EC3F44">
            <w:pPr>
              <w:spacing w:after="0" w:line="240" w:lineRule="auto"/>
              <w:contextualSpacing/>
              <w:outlineLvl w:val="0"/>
              <w:rPr>
                <w:rFonts w:ascii="Times New Roman" w:hAnsi="Times New Roman" w:cs="Times New Roman"/>
                <w:b/>
                <w:bCs/>
              </w:rPr>
            </w:pPr>
            <w:r>
              <w:rPr>
                <w:rFonts w:ascii="Times New Roman" w:hAnsi="Times New Roman" w:cs="Times New Roman"/>
                <w:b/>
                <w:bCs/>
              </w:rPr>
              <w:t>1875 (Преимущество)</w:t>
            </w:r>
          </w:p>
        </w:tc>
      </w:tr>
      <w:tr w:rsidR="00B130A8">
        <w:trPr>
          <w:trHeight w:val="315"/>
        </w:trPr>
        <w:tc>
          <w:tcPr>
            <w:tcW w:w="596" w:type="dxa"/>
          </w:tcPr>
          <w:p w:rsidR="00B130A8" w:rsidRDefault="00EC3F44">
            <w:pPr>
              <w:spacing w:after="0" w:line="240" w:lineRule="auto"/>
              <w:contextualSpacing/>
              <w:outlineLvl w:val="0"/>
              <w:rPr>
                <w:rFonts w:ascii="Times New Roman" w:hAnsi="Times New Roman" w:cs="Times New Roman"/>
                <w:bCs/>
              </w:rPr>
            </w:pPr>
            <w:r>
              <w:rPr>
                <w:rFonts w:ascii="Times New Roman" w:hAnsi="Times New Roman" w:cs="Times New Roman"/>
                <w:bCs/>
              </w:rPr>
              <w:t>1</w:t>
            </w:r>
          </w:p>
        </w:tc>
        <w:tc>
          <w:tcPr>
            <w:tcW w:w="1430" w:type="dxa"/>
          </w:tcPr>
          <w:p w:rsidR="00B130A8" w:rsidRDefault="00EC3F44">
            <w:pPr>
              <w:spacing w:after="0" w:line="240" w:lineRule="auto"/>
              <w:contextualSpacing/>
              <w:outlineLvl w:val="0"/>
              <w:rPr>
                <w:rFonts w:ascii="Times New Roman" w:hAnsi="Times New Roman" w:cs="Times New Roman"/>
                <w:bCs/>
              </w:rPr>
            </w:pPr>
            <w:r>
              <w:rPr>
                <w:rFonts w:ascii="Times New Roman" w:hAnsi="Times New Roman" w:cs="Times New Roman"/>
                <w:bCs/>
              </w:rPr>
              <w:t>26.40.33.111</w:t>
            </w:r>
          </w:p>
        </w:tc>
        <w:tc>
          <w:tcPr>
            <w:tcW w:w="1910" w:type="dxa"/>
          </w:tcPr>
          <w:p w:rsidR="00B130A8" w:rsidRDefault="00EC3F44">
            <w:pPr>
              <w:spacing w:after="0" w:line="240" w:lineRule="auto"/>
              <w:contextualSpacing/>
              <w:outlineLvl w:val="0"/>
              <w:rPr>
                <w:rFonts w:ascii="Times New Roman" w:hAnsi="Times New Roman" w:cs="Times New Roman"/>
                <w:bCs/>
              </w:rPr>
            </w:pPr>
            <w:r>
              <w:rPr>
                <w:rFonts w:ascii="Times New Roman" w:hAnsi="Times New Roman" w:cs="Times New Roman"/>
                <w:bCs/>
              </w:rPr>
              <w:t>Видеокамеры для систем видеонаблюдения</w:t>
            </w:r>
          </w:p>
        </w:tc>
        <w:tc>
          <w:tcPr>
            <w:tcW w:w="1842" w:type="dxa"/>
          </w:tcPr>
          <w:p w:rsidR="00B130A8" w:rsidRDefault="00B130A8">
            <w:pPr>
              <w:spacing w:after="0" w:line="240" w:lineRule="auto"/>
              <w:contextualSpacing/>
              <w:outlineLvl w:val="0"/>
              <w:rPr>
                <w:rFonts w:ascii="Times New Roman" w:hAnsi="Times New Roman" w:cs="Times New Roman"/>
                <w:bCs/>
              </w:rPr>
            </w:pPr>
          </w:p>
        </w:tc>
        <w:tc>
          <w:tcPr>
            <w:tcW w:w="1693" w:type="dxa"/>
          </w:tcPr>
          <w:p w:rsidR="00B130A8" w:rsidRDefault="00EC3F44">
            <w:pPr>
              <w:spacing w:after="0" w:line="240" w:lineRule="auto"/>
              <w:contextualSpacing/>
              <w:jc w:val="center"/>
              <w:outlineLvl w:val="0"/>
              <w:rPr>
                <w:rFonts w:ascii="Times New Roman" w:hAnsi="Times New Roman" w:cs="Times New Roman"/>
                <w:bCs/>
              </w:rPr>
            </w:pPr>
            <w:r>
              <w:rPr>
                <w:rFonts w:ascii="Segoe UI Symbol" w:hAnsi="Segoe UI Symbol" w:cs="Segoe UI Symbol"/>
                <w:bCs/>
              </w:rPr>
              <w:t>✓</w:t>
            </w:r>
          </w:p>
        </w:tc>
        <w:tc>
          <w:tcPr>
            <w:tcW w:w="1993" w:type="dxa"/>
          </w:tcPr>
          <w:p w:rsidR="00B130A8" w:rsidRDefault="00B130A8">
            <w:pPr>
              <w:spacing w:after="0" w:line="240" w:lineRule="auto"/>
              <w:contextualSpacing/>
              <w:outlineLvl w:val="0"/>
              <w:rPr>
                <w:rFonts w:ascii="Times New Roman" w:hAnsi="Times New Roman" w:cs="Times New Roman"/>
                <w:bCs/>
              </w:rPr>
            </w:pPr>
          </w:p>
        </w:tc>
      </w:tr>
    </w:tbl>
    <w:p w:rsidR="00B130A8" w:rsidRDefault="00B130A8">
      <w:pPr>
        <w:spacing w:after="0" w:line="240" w:lineRule="auto"/>
        <w:contextualSpacing/>
        <w:outlineLvl w:val="0"/>
        <w:rPr>
          <w:rFonts w:ascii="Times New Roman" w:eastAsia="Times New Roman" w:hAnsi="Times New Roman" w:cs="Times New Roman"/>
          <w:b/>
          <w:lang w:eastAsia="ru-RU"/>
        </w:rPr>
      </w:pPr>
    </w:p>
    <w:p w:rsidR="00B130A8" w:rsidRDefault="00EC3F44">
      <w:pPr>
        <w:spacing w:after="0" w:line="240" w:lineRule="auto"/>
        <w:contextualSpacing/>
        <w:jc w:val="both"/>
        <w:outlineLvl w:val="0"/>
        <w:rPr>
          <w:rFonts w:ascii="Times New Roman" w:eastAsia="Times New Roman" w:hAnsi="Times New Roman" w:cs="Times New Roman"/>
          <w:bCs/>
          <w:i/>
          <w:iCs/>
          <w:lang w:eastAsia="ru-RU"/>
        </w:rPr>
      </w:pPr>
      <w:r>
        <w:rPr>
          <w:rFonts w:ascii="Times New Roman" w:eastAsia="Times New Roman" w:hAnsi="Times New Roman" w:cs="Times New Roman"/>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B130A8" w:rsidRDefault="00B130A8">
      <w:pPr>
        <w:spacing w:after="0" w:line="240" w:lineRule="auto"/>
        <w:contextualSpacing/>
        <w:outlineLvl w:val="0"/>
        <w:rPr>
          <w:rFonts w:ascii="Times New Roman" w:eastAsia="Times New Roman" w:hAnsi="Times New Roman" w:cs="Times New Roman"/>
          <w:b/>
          <w:lang w:eastAsia="ru-RU"/>
        </w:rPr>
      </w:pPr>
    </w:p>
    <w:p w:rsidR="00B130A8" w:rsidRDefault="00EC3F44">
      <w:pPr>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Требования к качеству, техническим и функциональным характеристикам (потребительским свойствам), безопасности, размерам товара, упаковке, отгрузке товара, требования к результатам работ и иные показатели, связанные с определением соответствия поставляемого товара потребностям заказчика</w:t>
      </w:r>
    </w:p>
    <w:p w:rsidR="00B130A8" w:rsidRDefault="00B130A8">
      <w:pPr>
        <w:spacing w:after="0" w:line="240" w:lineRule="auto"/>
        <w:ind w:firstLine="708"/>
        <w:contextualSpacing/>
        <w:jc w:val="both"/>
        <w:rPr>
          <w:rFonts w:ascii="Times New Roman" w:hAnsi="Times New Roman"/>
        </w:rPr>
      </w:pPr>
    </w:p>
    <w:p w:rsidR="00B130A8" w:rsidRDefault="00B130A8">
      <w:pPr>
        <w:spacing w:after="0" w:line="240" w:lineRule="auto"/>
        <w:contextualSpacing/>
        <w:jc w:val="both"/>
        <w:rPr>
          <w:rFonts w:ascii="Times New Roman" w:hAnsi="Times New Roman"/>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3828"/>
        <w:gridCol w:w="3373"/>
      </w:tblGrid>
      <w:tr w:rsidR="00B130A8">
        <w:tc>
          <w:tcPr>
            <w:tcW w:w="2722" w:type="dxa"/>
            <w:tcBorders>
              <w:top w:val="single" w:sz="4" w:space="0" w:color="auto"/>
              <w:left w:val="single" w:sz="4" w:space="0" w:color="auto"/>
              <w:bottom w:val="single" w:sz="4" w:space="0" w:color="auto"/>
              <w:right w:val="single" w:sz="4" w:space="0" w:color="auto"/>
            </w:tcBorders>
          </w:tcPr>
          <w:p w:rsidR="00B130A8" w:rsidRDefault="00EC3F44">
            <w:pPr>
              <w:suppressAutoHyphens/>
              <w:spacing w:beforeLines="40" w:before="96" w:afterLines="40" w:after="96"/>
              <w:jc w:val="center"/>
              <w:rPr>
                <w:rFonts w:ascii="Times New Roman" w:hAnsi="Times New Roman" w:cs="Times New Roman"/>
                <w:b/>
                <w:bCs/>
              </w:rPr>
            </w:pPr>
            <w:r>
              <w:rPr>
                <w:rFonts w:ascii="Times New Roman" w:hAnsi="Times New Roman" w:cs="Times New Roman"/>
                <w:b/>
                <w:bCs/>
              </w:rPr>
              <w:t>№ п/п</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contextualSpacing/>
              <w:jc w:val="center"/>
              <w:rPr>
                <w:rFonts w:ascii="Times New Roman" w:hAnsi="Times New Roman" w:cs="Times New Roman"/>
                <w:b/>
                <w:bCs/>
              </w:rPr>
            </w:pPr>
            <w:r>
              <w:rPr>
                <w:rFonts w:ascii="Times New Roman" w:hAnsi="Times New Roman" w:cs="Times New Roman"/>
                <w:b/>
                <w:bCs/>
              </w:rPr>
              <w:t xml:space="preserve">Наименование </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contextualSpacing/>
              <w:jc w:val="center"/>
              <w:rPr>
                <w:rFonts w:ascii="Times New Roman" w:hAnsi="Times New Roman" w:cs="Times New Roman"/>
                <w:b/>
                <w:bCs/>
              </w:rPr>
            </w:pPr>
            <w:r>
              <w:rPr>
                <w:rFonts w:ascii="Times New Roman" w:hAnsi="Times New Roman" w:cs="Times New Roman"/>
                <w:b/>
                <w:bCs/>
              </w:rPr>
              <w:t>Ед. изм.</w:t>
            </w:r>
          </w:p>
        </w:tc>
      </w:tr>
      <w:tr w:rsidR="00B130A8">
        <w:tc>
          <w:tcPr>
            <w:tcW w:w="2722" w:type="dxa"/>
            <w:tcBorders>
              <w:top w:val="single" w:sz="4" w:space="0" w:color="auto"/>
              <w:left w:val="single" w:sz="4" w:space="0" w:color="auto"/>
              <w:bottom w:val="single" w:sz="4" w:space="0" w:color="auto"/>
              <w:right w:val="single" w:sz="4" w:space="0" w:color="auto"/>
            </w:tcBorders>
          </w:tcPr>
          <w:p w:rsidR="00B130A8" w:rsidRDefault="00B130A8">
            <w:pPr>
              <w:pStyle w:val="a6"/>
              <w:numPr>
                <w:ilvl w:val="0"/>
                <w:numId w:val="3"/>
              </w:numPr>
              <w:suppressAutoHyphens/>
              <w:spacing w:beforeLines="40" w:before="96" w:afterLines="40" w:after="96" w:line="240" w:lineRule="auto"/>
              <w:ind w:left="30" w:firstLine="0"/>
              <w:jc w:val="cente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contextualSpacing/>
              <w:jc w:val="center"/>
              <w:rPr>
                <w:rFonts w:ascii="Times New Roman" w:hAnsi="Times New Roman" w:cs="Times New Roman"/>
                <w:b/>
                <w:bCs/>
                <w:i/>
                <w:iCs/>
              </w:rPr>
            </w:pPr>
            <w:r>
              <w:rPr>
                <w:rFonts w:ascii="Times New Roman" w:hAnsi="Times New Roman" w:cs="Times New Roman"/>
                <w:b/>
                <w:bCs/>
                <w:i/>
                <w:iCs/>
              </w:rPr>
              <w:t>Сетевые видеокамеры для автоматического распознавания лесных пожаров на территории лесного фонда Республики Дагестан</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contextualSpacing/>
              <w:jc w:val="center"/>
              <w:rPr>
                <w:rFonts w:ascii="Times New Roman" w:hAnsi="Times New Roman" w:cs="Times New Roman"/>
                <w:b/>
                <w:bCs/>
                <w:i/>
                <w:iCs/>
              </w:rPr>
            </w:pPr>
            <w:r>
              <w:rPr>
                <w:rFonts w:ascii="Times New Roman" w:hAnsi="Times New Roman" w:cs="Times New Roman"/>
                <w:b/>
                <w:bCs/>
                <w:i/>
                <w:iCs/>
              </w:rPr>
              <w:t>18 комплектов</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ar-SA"/>
              </w:rPr>
              <w:t>Характеристики</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ar-SA"/>
              </w:rPr>
              <w:t>Показатели, значения которых не могут изменяться</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Показатели, для которых установлены максимальные и (или) минимальные значения</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Тип камеры</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PTZ IP-видеокамера WizSense с разрешением не менее 4 Мп, 40-кратным оптическим увеличением и ИК подсветкой</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Матрица</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bCs/>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не менее 4 Мп</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Датчик изображения</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прогрессивная развертка</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не менее 1/2,8”</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Объектив</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автофокус</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 в диапазоне 4,25 - 169,99 мм</w:t>
            </w:r>
          </w:p>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F в диапазоне 1.6–4.95</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Время срабатывания затвора</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диапазон не уже от 1/30000 до 1с</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Поворот</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неограниченный на 360°</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диапазон скоростей поворота не уже 0,1–300 °/с</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Наклон</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0,1–200 °/с</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Оптическое увеличение</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не менее чем 40-кратное увеличение</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Сжатие видеоизображения</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базовый, основной и высокий профили H.265, H.264 (MPEG-4 часть 10/AVC), MJPEG</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Разрешение</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b/>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не менее 2560×1440 (Quad HD)</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Потоковое видео</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нескольких отдельно настраиваемых потоков в форматах H.265, H.264 и MJPEG Контролируемые значения частоты кадров и битрейта VBR/</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rPr>
              <w:t>CBR</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Параметры изображения</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highlight w:val="yellow"/>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широкий динамический диапазон не менее 120 дБ</w:t>
            </w:r>
          </w:p>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highlight w:val="yellow"/>
              </w:rPr>
            </w:pPr>
          </w:p>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highlight w:val="yellow"/>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Безопасность</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защита паролем, фильтрация IP-адресов, шифрование по протоколу HTTPSa, контроль доступа по сети IEEE 802.1Xa, дайджест-проверка подлинности, журнал доступа пользователей, централизованное управление сертификатами, защита от попыток подбора пароля.</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Поддерживаемые протоколы</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ARP, Bonjour, DDNS, DHCP, DNS, FTP, HTTP, HTTPS, ICMP, IGMP, IPv4, IPv6, NFS, NTP, PPPoE, QoS, RTCP, RTMP, RTP, RTSP, SMTP, SNMP, SSL, TCP/IP, UDP, UPnP, 802.1X</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Функция </w:t>
            </w:r>
            <w:r>
              <w:rPr>
                <w:rFonts w:ascii="Times New Roman" w:eastAsia="Times New Roman" w:hAnsi="Times New Roman" w:cs="Times New Roman"/>
                <w:bCs/>
                <w:sz w:val="24"/>
                <w:szCs w:val="24"/>
                <w:lang w:val="en-US"/>
              </w:rPr>
              <w:t>PAC</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Pixel</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Accurate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Control</w:t>
            </w:r>
            <w:r>
              <w:rPr>
                <w:rFonts w:ascii="Times New Roman" w:eastAsia="Times New Roman" w:hAnsi="Times New Roman" w:cs="Times New Roman"/>
                <w:bCs/>
                <w:sz w:val="24"/>
                <w:szCs w:val="24"/>
              </w:rPr>
              <w:t xml:space="preserve">) представляет собой набор методов </w:t>
            </w:r>
            <w:r>
              <w:rPr>
                <w:rFonts w:ascii="Times New Roman" w:eastAsia="Times New Roman" w:hAnsi="Times New Roman" w:cs="Times New Roman"/>
                <w:bCs/>
                <w:sz w:val="24"/>
                <w:szCs w:val="24"/>
                <w:lang w:val="en-US"/>
              </w:rPr>
              <w:t>API</w:t>
            </w:r>
            <w:r>
              <w:rPr>
                <w:rFonts w:ascii="Times New Roman" w:eastAsia="Times New Roman" w:hAnsi="Times New Roman" w:cs="Times New Roman"/>
                <w:bCs/>
                <w:sz w:val="24"/>
                <w:szCs w:val="24"/>
              </w:rPr>
              <w:t xml:space="preserve"> для управления </w:t>
            </w:r>
            <w:r>
              <w:rPr>
                <w:rFonts w:ascii="Times New Roman" w:eastAsia="Times New Roman" w:hAnsi="Times New Roman" w:cs="Times New Roman"/>
                <w:bCs/>
                <w:sz w:val="24"/>
                <w:szCs w:val="24"/>
                <w:lang w:val="en-US"/>
              </w:rPr>
              <w:t>PTZ</w:t>
            </w:r>
            <w:r>
              <w:rPr>
                <w:rFonts w:ascii="Times New Roman" w:eastAsia="Times New Roman" w:hAnsi="Times New Roman" w:cs="Times New Roman"/>
                <w:bCs/>
                <w:sz w:val="24"/>
                <w:szCs w:val="24"/>
              </w:rPr>
              <w:t xml:space="preserve">-камерой, которая позволяет максимально быстро и точно (с точностью в 1 пиксель) направить камеру на очаг возгорания, с </w:t>
            </w:r>
            <w:r>
              <w:rPr>
                <w:rFonts w:ascii="Times New Roman" w:eastAsia="Times New Roman" w:hAnsi="Times New Roman" w:cs="Times New Roman"/>
                <w:bCs/>
                <w:sz w:val="24"/>
                <w:szCs w:val="24"/>
              </w:rPr>
              <w:lastRenderedPageBreak/>
              <w:t>целью определения его координат</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Корпус</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металлический корпус </w:t>
            </w:r>
          </w:p>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Память</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ОЗУ: не менее 1024 МБ, ПЗУ не менее 4096 МБ</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Защита</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грозозащита 6 кВ, защита от перенапряжения, защита от переходного напряжения</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bCs/>
                <w:sz w:val="24"/>
                <w:szCs w:val="24"/>
                <w:highlight w:val="yellow"/>
              </w:rPr>
            </w:pPr>
            <w:r>
              <w:rPr>
                <w:rFonts w:ascii="Times New Roman" w:eastAsia="Times New Roman" w:hAnsi="Times New Roman" w:cs="Times New Roman"/>
                <w:sz w:val="24"/>
                <w:szCs w:val="24"/>
              </w:rPr>
              <w:t>Класс защиты не ниже IP67, IK10</w:t>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Разъемы</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 RJ-45 (10/100 Base-T)</w:t>
            </w: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ind w:firstLine="34"/>
              <w:contextualSpacing/>
              <w:rPr>
                <w:rFonts w:ascii="Times New Roman" w:eastAsia="Times New Roman" w:hAnsi="Times New Roman" w:cs="Times New Roman"/>
                <w:sz w:val="24"/>
                <w:szCs w:val="24"/>
                <w:highlight w:val="yellow"/>
              </w:rPr>
            </w:pP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Условия эксплуатации и включения</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эксплуатация в диапазоне от </w:t>
            </w:r>
            <w:r>
              <w:rPr>
                <w:rFonts w:ascii="Times New Roman" w:eastAsia="Times New Roman" w:hAnsi="Times New Roman" w:cs="Times New Roman"/>
                <w:sz w:val="24"/>
                <w:szCs w:val="24"/>
                <w:lang w:eastAsia="ar-SA"/>
              </w:rPr>
              <w:t xml:space="preserve">не более </w:t>
            </w:r>
            <w:r>
              <w:rPr>
                <w:rFonts w:ascii="Times New Roman" w:eastAsia="Times New Roman" w:hAnsi="Times New Roman" w:cs="Times New Roman"/>
                <w:sz w:val="24"/>
                <w:szCs w:val="24"/>
              </w:rPr>
              <w:t xml:space="preserve">–40 до </w:t>
            </w:r>
            <w:r>
              <w:rPr>
                <w:rFonts w:ascii="Times New Roman" w:eastAsia="Times New Roman" w:hAnsi="Times New Roman" w:cs="Times New Roman"/>
                <w:sz w:val="24"/>
                <w:szCs w:val="24"/>
                <w:lang w:eastAsia="ar-SA"/>
              </w:rPr>
              <w:t xml:space="preserve">не менее </w:t>
            </w:r>
            <w:r>
              <w:rPr>
                <w:rFonts w:ascii="Times New Roman" w:eastAsia="Times New Roman" w:hAnsi="Times New Roman" w:cs="Times New Roman"/>
                <w:sz w:val="24"/>
                <w:szCs w:val="24"/>
              </w:rPr>
              <w:t xml:space="preserve">+70 °C, </w:t>
            </w:r>
            <w:r>
              <w:rPr>
                <w:rFonts w:ascii="Times New Roman" w:eastAsia="Times New Roman" w:hAnsi="Times New Roman" w:cs="Times New Roman"/>
                <w:sz w:val="24"/>
                <w:szCs w:val="24"/>
              </w:rPr>
              <w:br/>
            </w:r>
          </w:p>
        </w:tc>
      </w:tr>
      <w:tr w:rsidR="00B130A8">
        <w:tc>
          <w:tcPr>
            <w:tcW w:w="2722"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Масса без учета крепления, грозозащиты, питания, кабеля</w:t>
            </w:r>
          </w:p>
        </w:tc>
        <w:tc>
          <w:tcPr>
            <w:tcW w:w="3828" w:type="dxa"/>
            <w:tcBorders>
              <w:top w:val="single" w:sz="4" w:space="0" w:color="auto"/>
              <w:left w:val="single" w:sz="4" w:space="0" w:color="auto"/>
              <w:bottom w:val="single" w:sz="4" w:space="0" w:color="auto"/>
              <w:right w:val="single" w:sz="4" w:space="0" w:color="auto"/>
            </w:tcBorders>
            <w:vAlign w:val="center"/>
          </w:tcPr>
          <w:p w:rsidR="00B130A8" w:rsidRDefault="00B130A8">
            <w:pPr>
              <w:suppressAutoHyphens/>
              <w:spacing w:beforeLines="40" w:before="96" w:afterLines="40" w:after="96" w:line="240" w:lineRule="auto"/>
              <w:contextualSpacing/>
              <w:rPr>
                <w:rFonts w:ascii="Times New Roman" w:eastAsia="Times New Roman" w:hAnsi="Times New Roman" w:cs="Times New Roman"/>
                <w:sz w:val="24"/>
                <w:szCs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B130A8" w:rsidRDefault="00EC3F44">
            <w:pPr>
              <w:suppressAutoHyphens/>
              <w:spacing w:beforeLines="40" w:before="96" w:afterLines="40" w:after="96" w:line="240" w:lineRule="auto"/>
              <w:ind w:firstLine="3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более 4.7 кг</w:t>
            </w:r>
          </w:p>
        </w:tc>
      </w:tr>
    </w:tbl>
    <w:p w:rsidR="00B130A8" w:rsidRDefault="00EC3F44">
      <w:pPr>
        <w:suppressAutoHyphens/>
        <w:spacing w:after="0" w:line="240" w:lineRule="auto"/>
        <w:contextualSpacing/>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Видеокамеры поставляются в комплекте с кронштейном, инжектором, устройством удаленного управления электропитанием, маршрутизатором, грозозащитой, монтажным комплексом должны обладать всеми необходимыми для размещения, подключения к каналам связи и функционирования на высотных объектах оборудованием и крепежом.</w:t>
      </w:r>
    </w:p>
    <w:p w:rsidR="00B130A8" w:rsidRDefault="00B130A8">
      <w:pPr>
        <w:autoSpaceDN w:val="0"/>
        <w:spacing w:after="0" w:line="240" w:lineRule="auto"/>
        <w:contextualSpacing/>
        <w:jc w:val="both"/>
        <w:rPr>
          <w:rFonts w:ascii="Times New Roman" w:eastAsia="Times New Roman" w:hAnsi="Times New Roman" w:cs="Times New Roman"/>
          <w:b/>
          <w:lang w:eastAsia="ru-RU"/>
        </w:rPr>
      </w:pPr>
    </w:p>
    <w:p w:rsidR="00B130A8" w:rsidRDefault="00EC3F44">
      <w:pPr>
        <w:autoSpaceDN w:val="0"/>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 Срок поставки Товара: </w:t>
      </w:r>
      <w:r>
        <w:rPr>
          <w:rFonts w:ascii="Times New Roman" w:eastAsia="Times New Roman" w:hAnsi="Times New Roman" w:cs="Times New Roman"/>
          <w:sz w:val="24"/>
          <w:szCs w:val="24"/>
          <w:lang w:eastAsia="ru-RU"/>
        </w:rPr>
        <w:t xml:space="preserve">Поставщик обязан поставить Товар в течение </w:t>
      </w:r>
      <w:r w:rsidR="00006812">
        <w:rPr>
          <w:rFonts w:ascii="Times New Roman" w:eastAsia="MS Mincho" w:hAnsi="Times New Roman" w:cs="Times New Roman"/>
          <w:sz w:val="24"/>
          <w:szCs w:val="24"/>
          <w:lang w:eastAsia="ru-RU"/>
        </w:rPr>
        <w:t>30</w:t>
      </w:r>
      <w:r>
        <w:rPr>
          <w:rFonts w:ascii="Times New Roman" w:eastAsia="MS Mincho" w:hAnsi="Times New Roman" w:cs="Times New Roman"/>
          <w:sz w:val="24"/>
          <w:szCs w:val="24"/>
          <w:lang w:eastAsia="ru-RU"/>
        </w:rPr>
        <w:t xml:space="preserve"> (</w:t>
      </w:r>
      <w:r w:rsidR="00006812">
        <w:rPr>
          <w:rFonts w:ascii="Times New Roman" w:eastAsia="MS Mincho" w:hAnsi="Times New Roman" w:cs="Times New Roman"/>
          <w:sz w:val="24"/>
          <w:szCs w:val="24"/>
          <w:lang w:eastAsia="ru-RU"/>
        </w:rPr>
        <w:t>тридцати</w:t>
      </w:r>
      <w:bookmarkStart w:id="0" w:name="_GoBack"/>
      <w:bookmarkEnd w:id="0"/>
      <w:r>
        <w:rPr>
          <w:rFonts w:ascii="Times New Roman" w:eastAsia="MS Mincho" w:hAnsi="Times New Roman" w:cs="Times New Roman"/>
          <w:sz w:val="24"/>
          <w:szCs w:val="24"/>
          <w:lang w:eastAsia="ru-RU"/>
        </w:rPr>
        <w:t>) рабочих дней. Возможна досрочная поставка.</w:t>
      </w:r>
      <w:r>
        <w:rPr>
          <w:rFonts w:ascii="Times New Roman" w:eastAsia="Times New Roman" w:hAnsi="Times New Roman" w:cs="Times New Roman"/>
          <w:sz w:val="24"/>
          <w:szCs w:val="24"/>
          <w:lang w:eastAsia="ru-RU"/>
        </w:rPr>
        <w:t xml:space="preserve"> </w:t>
      </w:r>
      <w:r>
        <w:rPr>
          <w:rFonts w:ascii="Times New Roman" w:eastAsia="MS Mincho" w:hAnsi="Times New Roman" w:cs="Times New Roman"/>
          <w:sz w:val="24"/>
          <w:szCs w:val="24"/>
          <w:lang w:eastAsia="ru-RU"/>
        </w:rPr>
        <w:t>Поставка должна быть осуществлена в полном объеме с предоставлением комплекта документации.</w:t>
      </w:r>
    </w:p>
    <w:p w:rsidR="00B130A8" w:rsidRDefault="00EC3F44">
      <w:pPr>
        <w:spacing w:after="0" w:line="240" w:lineRule="auto"/>
        <w:ind w:left="-567"/>
        <w:contextualSpacing/>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3. </w:t>
      </w:r>
      <w:r>
        <w:rPr>
          <w:rFonts w:ascii="Times New Roman" w:eastAsia="Times New Roman" w:hAnsi="Times New Roman" w:cs="Times New Roman"/>
          <w:b/>
          <w:sz w:val="24"/>
          <w:szCs w:val="24"/>
          <w:lang w:eastAsia="ru-RU"/>
        </w:rPr>
        <w:t xml:space="preserve">Место поставки Товара: </w:t>
      </w:r>
      <w:r>
        <w:rPr>
          <w:rFonts w:ascii="Times New Roman" w:eastAsia="Times New Roman" w:hAnsi="Times New Roman" w:cs="Times New Roman"/>
          <w:sz w:val="24"/>
          <w:szCs w:val="24"/>
          <w:lang w:eastAsia="ru-RU"/>
        </w:rPr>
        <w:t>367033, РД, г. Махачкала, пос. Ленинкент, ул. Интернатская, 2</w:t>
      </w:r>
    </w:p>
    <w:p w:rsidR="00B130A8" w:rsidRDefault="00EC3F44">
      <w:pPr>
        <w:spacing w:after="0" w:line="240"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Требования   к качеству, безопасности товара: </w:t>
      </w:r>
    </w:p>
    <w:p w:rsidR="00B130A8" w:rsidRDefault="00EC3F44">
      <w:pPr>
        <w:tabs>
          <w:tab w:val="left" w:pos="6341"/>
        </w:tabs>
        <w:suppressAutoHyphens/>
        <w:spacing w:after="0" w:line="240" w:lineRule="auto"/>
        <w:ind w:left="-567"/>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Общие требования.</w:t>
      </w:r>
      <w:r>
        <w:rPr>
          <w:rFonts w:ascii="Times New Roman" w:eastAsia="Times New Roman" w:hAnsi="Times New Roman" w:cs="Times New Roman"/>
          <w:b/>
          <w:sz w:val="24"/>
          <w:szCs w:val="24"/>
          <w:lang w:eastAsia="ar-SA"/>
        </w:rPr>
        <w:tab/>
      </w:r>
    </w:p>
    <w:p w:rsidR="00B130A8" w:rsidRPr="00645250" w:rsidRDefault="00EC3F44">
      <w:pPr>
        <w:suppressAutoHyphens/>
        <w:spacing w:after="0" w:line="240" w:lineRule="auto"/>
        <w:ind w:left="-567"/>
        <w:contextualSpacing/>
        <w:jc w:val="both"/>
        <w:rPr>
          <w:rFonts w:ascii="Times New Roman" w:eastAsia="Times New Roman" w:hAnsi="Times New Roman" w:cs="Times New Roman"/>
          <w:sz w:val="24"/>
          <w:szCs w:val="24"/>
          <w:lang w:eastAsia="ar-SA"/>
        </w:rPr>
      </w:pPr>
      <w:r w:rsidRPr="00645250">
        <w:rPr>
          <w:rFonts w:ascii="Times New Roman" w:eastAsia="Times New Roman" w:hAnsi="Times New Roman" w:cs="Times New Roman"/>
          <w:sz w:val="24"/>
          <w:szCs w:val="24"/>
          <w:lang w:eastAsia="ar-SA"/>
        </w:rPr>
        <w:t>Поставляемое оборудование должно быть в реестре Минпромторга.</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4.1. Поставляемый товар должен соответствовать заданным функциональным и качественным характеристикам.</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130A8" w:rsidRDefault="00EC3F44">
      <w:pPr>
        <w:spacing w:after="0" w:line="240" w:lineRule="auto"/>
        <w:ind w:left="-567"/>
        <w:jc w:val="both"/>
        <w:rPr>
          <w:rFonts w:ascii="Times New Roman" w:eastAsia="NSimSun" w:hAnsi="Times New Roman" w:cs="Times New Roman"/>
          <w:b/>
          <w:bCs/>
          <w:sz w:val="24"/>
          <w:szCs w:val="24"/>
          <w:lang w:eastAsia="ru-RU"/>
        </w:rPr>
      </w:pPr>
      <w:r>
        <w:rPr>
          <w:rFonts w:ascii="Times New Roman" w:eastAsia="NSimSun" w:hAnsi="Times New Roman" w:cs="Times New Roman"/>
          <w:b/>
          <w:bCs/>
          <w:sz w:val="24"/>
          <w:szCs w:val="24"/>
          <w:lang w:eastAsia="ru-RU"/>
        </w:rPr>
        <w:t>5. Требования к упаковке и маркировке поставляемого товара:</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B130A8" w:rsidRDefault="00EC3F44">
      <w:pPr>
        <w:spacing w:after="0" w:line="240" w:lineRule="auto"/>
        <w:ind w:left="-567"/>
        <w:jc w:val="both"/>
        <w:rPr>
          <w:rFonts w:ascii="Times New Roman" w:eastAsia="NSimSun" w:hAnsi="Times New Roman" w:cs="Times New Roman"/>
          <w:b/>
          <w:bCs/>
          <w:sz w:val="24"/>
          <w:szCs w:val="24"/>
          <w:lang w:eastAsia="ru-RU"/>
        </w:rPr>
      </w:pPr>
      <w:r>
        <w:rPr>
          <w:rFonts w:ascii="Times New Roman" w:eastAsia="NSimSun" w:hAnsi="Times New Roman" w:cs="Times New Roman"/>
          <w:b/>
          <w:bCs/>
          <w:sz w:val="24"/>
          <w:szCs w:val="24"/>
          <w:lang w:eastAsia="ru-RU"/>
        </w:rPr>
        <w:t>6. Требования к гарантийному сроку товара и (или) объему предоставления гарантий качества товара:</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6.1. Гарантия качества товара - в соответствии с гарантийным сроком, установленным производителем (изготовителем).</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6.2. Гарантийные обязательства должны распространяться на каждую единицу товара с момента приемки товара Заказчиком.</w:t>
      </w:r>
    </w:p>
    <w:p w:rsidR="00B130A8" w:rsidRDefault="00EC3F44">
      <w:pPr>
        <w:spacing w:after="0" w:line="240" w:lineRule="auto"/>
        <w:ind w:left="-567"/>
        <w:jc w:val="both"/>
        <w:rPr>
          <w:rFonts w:ascii="Times New Roman" w:eastAsia="NSimSun" w:hAnsi="Times New Roman" w:cs="Times New Roman"/>
          <w:sz w:val="24"/>
          <w:szCs w:val="24"/>
          <w:lang w:eastAsia="ru-RU"/>
        </w:rPr>
      </w:pPr>
      <w:r>
        <w:rPr>
          <w:rFonts w:ascii="Times New Roman" w:eastAsia="NSimSun" w:hAnsi="Times New Roman" w:cs="Times New Roman"/>
          <w:sz w:val="24"/>
          <w:szCs w:val="24"/>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B130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59" w:rsidRDefault="00F77159">
      <w:pPr>
        <w:spacing w:line="240" w:lineRule="auto"/>
      </w:pPr>
      <w:r>
        <w:separator/>
      </w:r>
    </w:p>
  </w:endnote>
  <w:endnote w:type="continuationSeparator" w:id="0">
    <w:p w:rsidR="00F77159" w:rsidRDefault="00F77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59" w:rsidRDefault="00F77159">
      <w:pPr>
        <w:spacing w:after="0"/>
      </w:pPr>
      <w:r>
        <w:separator/>
      </w:r>
    </w:p>
  </w:footnote>
  <w:footnote w:type="continuationSeparator" w:id="0">
    <w:p w:rsidR="00F77159" w:rsidRDefault="00F771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F7F46"/>
    <w:multiLevelType w:val="multilevel"/>
    <w:tmpl w:val="219F7F46"/>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DF69A3"/>
    <w:multiLevelType w:val="multilevel"/>
    <w:tmpl w:val="35DF69A3"/>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595B45B4"/>
    <w:multiLevelType w:val="multilevel"/>
    <w:tmpl w:val="595B45B4"/>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6F"/>
    <w:rsid w:val="00006812"/>
    <w:rsid w:val="000069A8"/>
    <w:rsid w:val="00037152"/>
    <w:rsid w:val="00042681"/>
    <w:rsid w:val="000619A5"/>
    <w:rsid w:val="00083756"/>
    <w:rsid w:val="000F251F"/>
    <w:rsid w:val="000F69C0"/>
    <w:rsid w:val="00112625"/>
    <w:rsid w:val="00131B71"/>
    <w:rsid w:val="001B2230"/>
    <w:rsid w:val="001B5509"/>
    <w:rsid w:val="001B6707"/>
    <w:rsid w:val="002446D5"/>
    <w:rsid w:val="00275B4C"/>
    <w:rsid w:val="002B5A09"/>
    <w:rsid w:val="003177F0"/>
    <w:rsid w:val="00335388"/>
    <w:rsid w:val="00355587"/>
    <w:rsid w:val="003662E2"/>
    <w:rsid w:val="003B19FC"/>
    <w:rsid w:val="003B5FBB"/>
    <w:rsid w:val="003B7205"/>
    <w:rsid w:val="003C0310"/>
    <w:rsid w:val="0040628C"/>
    <w:rsid w:val="0041048B"/>
    <w:rsid w:val="00450FE2"/>
    <w:rsid w:val="00455183"/>
    <w:rsid w:val="00471134"/>
    <w:rsid w:val="00471FD0"/>
    <w:rsid w:val="00475980"/>
    <w:rsid w:val="004769C2"/>
    <w:rsid w:val="004A229B"/>
    <w:rsid w:val="005167A9"/>
    <w:rsid w:val="00527B2E"/>
    <w:rsid w:val="00584E36"/>
    <w:rsid w:val="005909BE"/>
    <w:rsid w:val="005979D2"/>
    <w:rsid w:val="005F30DA"/>
    <w:rsid w:val="00645250"/>
    <w:rsid w:val="006C33BF"/>
    <w:rsid w:val="006D6D36"/>
    <w:rsid w:val="00721911"/>
    <w:rsid w:val="00725B8C"/>
    <w:rsid w:val="00783BF6"/>
    <w:rsid w:val="00790927"/>
    <w:rsid w:val="00823E5A"/>
    <w:rsid w:val="00831865"/>
    <w:rsid w:val="008A00B1"/>
    <w:rsid w:val="008E4A48"/>
    <w:rsid w:val="009347E4"/>
    <w:rsid w:val="009C6791"/>
    <w:rsid w:val="009E0E2D"/>
    <w:rsid w:val="009E179F"/>
    <w:rsid w:val="009E42E6"/>
    <w:rsid w:val="009E50BB"/>
    <w:rsid w:val="009F4F5F"/>
    <w:rsid w:val="00A3151F"/>
    <w:rsid w:val="00A839DB"/>
    <w:rsid w:val="00A857BA"/>
    <w:rsid w:val="00A91F17"/>
    <w:rsid w:val="00AA535C"/>
    <w:rsid w:val="00AA6404"/>
    <w:rsid w:val="00AC0236"/>
    <w:rsid w:val="00AD65EC"/>
    <w:rsid w:val="00AE5346"/>
    <w:rsid w:val="00AE6344"/>
    <w:rsid w:val="00AF3201"/>
    <w:rsid w:val="00B130A8"/>
    <w:rsid w:val="00C05F83"/>
    <w:rsid w:val="00C40E11"/>
    <w:rsid w:val="00CA4170"/>
    <w:rsid w:val="00CB74D6"/>
    <w:rsid w:val="00CD1256"/>
    <w:rsid w:val="00CF1CDF"/>
    <w:rsid w:val="00D03AA3"/>
    <w:rsid w:val="00D20663"/>
    <w:rsid w:val="00D4256F"/>
    <w:rsid w:val="00D57E6A"/>
    <w:rsid w:val="00DD52DA"/>
    <w:rsid w:val="00EC3090"/>
    <w:rsid w:val="00EC3F44"/>
    <w:rsid w:val="00ED1A18"/>
    <w:rsid w:val="00ED2CC4"/>
    <w:rsid w:val="00EE7A15"/>
    <w:rsid w:val="00F37A64"/>
    <w:rsid w:val="00F525B3"/>
    <w:rsid w:val="00F53863"/>
    <w:rsid w:val="00F77159"/>
    <w:rsid w:val="00F85AE4"/>
    <w:rsid w:val="00FA0394"/>
    <w:rsid w:val="00FA0CB2"/>
    <w:rsid w:val="00FB6E25"/>
    <w:rsid w:val="2CBD5F7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C6C91-FC6C-40DA-A967-424B8D3F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4F84-DB99-4917-AB20-DD4B95B4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1112</Words>
  <Characters>6340</Characters>
  <Application>Microsoft Office Word</Application>
  <DocSecurity>0</DocSecurity>
  <Lines>52</Lines>
  <Paragraphs>14</Paragraphs>
  <ScaleCrop>false</ScaleCrop>
  <Company>Home</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dc:creator>
  <cp:lastModifiedBy>user</cp:lastModifiedBy>
  <cp:revision>19</cp:revision>
  <cp:lastPrinted>2019-03-12T10:02:00Z</cp:lastPrinted>
  <dcterms:created xsi:type="dcterms:W3CDTF">2026-05-12T12:42:00Z</dcterms:created>
  <dcterms:modified xsi:type="dcterms:W3CDTF">2026-05-25T13:26:00Z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eyJoZGlkIjoiNjMzMTc1OGM5YmYzMmZhZGFlMjY0ODk5YTQxNWQyNTgiLCJ1c2VySWQiOiI4NDE4NzQ3OTE2NDMifQ==</vt:lpwstr>
  </property>
  <property fmtid="{D5CDD505-2E9C-101B-9397-08002B2CF9AE}" pid="3" name="KSOProductBuildVer">
    <vt:lpwstr>1049-12.1.0.26372</vt:lpwstr>
  </property>
  <property fmtid="{D5CDD505-2E9C-101B-9397-08002B2CF9AE}" pid="4" name="ICV">
    <vt:lpwstr>94DA52D6FA2049BCB20050EB5C9FFB92_12</vt:lpwstr>
  </property>
</Properties>
</file>