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60503">
      <w:pPr>
        <w:widowControl w:val="0"/>
        <w:jc w:val="center"/>
        <w:rPr>
          <w:b/>
          <w:sz w:val="21"/>
        </w:rPr>
      </w:pPr>
      <w:r>
        <w:rPr>
          <w:b/>
          <w:sz w:val="21"/>
        </w:rPr>
        <w:t xml:space="preserve">  ДОГОВОР ПОСТАВКИ </w:t>
      </w:r>
    </w:p>
    <w:p w14:paraId="01B6920A">
      <w:pPr>
        <w:widowControl w:val="0"/>
        <w:jc w:val="center"/>
        <w:rPr>
          <w:b/>
          <w:sz w:val="21"/>
        </w:rPr>
      </w:pPr>
      <w:r>
        <w:rPr>
          <w:b/>
          <w:sz w:val="21"/>
        </w:rPr>
        <w:t xml:space="preserve">№ </w:t>
      </w:r>
    </w:p>
    <w:p w14:paraId="4DB210D2">
      <w:pPr>
        <w:widowControl w:val="0"/>
        <w:jc w:val="center"/>
        <w:rPr>
          <w:b/>
          <w:sz w:val="21"/>
        </w:rPr>
      </w:pPr>
    </w:p>
    <w:p w14:paraId="540D28A7">
      <w:pPr>
        <w:widowControl w:val="0"/>
        <w:jc w:val="both"/>
        <w:rPr>
          <w:sz w:val="21"/>
        </w:rPr>
      </w:pPr>
      <w:r>
        <w:rPr>
          <w:sz w:val="21"/>
        </w:rPr>
        <w:t>г. Воронеж</w:t>
      </w:r>
      <w:r>
        <w:rPr>
          <w:sz w:val="21"/>
        </w:rPr>
        <w:tab/>
      </w:r>
      <w:r>
        <w:rPr>
          <w:sz w:val="21"/>
        </w:rPr>
        <w:tab/>
      </w:r>
      <w:r>
        <w:rPr>
          <w:sz w:val="21"/>
        </w:rPr>
        <w:tab/>
      </w:r>
      <w:r>
        <w:rPr>
          <w:sz w:val="21"/>
        </w:rPr>
        <w:tab/>
      </w:r>
      <w:r>
        <w:rPr>
          <w:sz w:val="21"/>
        </w:rPr>
        <w:tab/>
      </w:r>
      <w:r>
        <w:rPr>
          <w:sz w:val="21"/>
        </w:rPr>
        <w:tab/>
      </w:r>
      <w:r>
        <w:rPr>
          <w:sz w:val="21"/>
        </w:rPr>
        <w:tab/>
      </w:r>
      <w:r>
        <w:rPr>
          <w:sz w:val="21"/>
        </w:rPr>
        <w:t xml:space="preserve">                                                                                                                            «___» ________ 202_ года</w:t>
      </w:r>
    </w:p>
    <w:p w14:paraId="17DD7028">
      <w:pPr>
        <w:widowControl w:val="0"/>
        <w:jc w:val="both"/>
        <w:rPr>
          <w:sz w:val="21"/>
        </w:rPr>
      </w:pPr>
    </w:p>
    <w:p w14:paraId="7F523E16">
      <w:pPr>
        <w:widowControl w:val="0"/>
        <w:shd w:val="clear" w:color="auto" w:fill="FFFFFF"/>
        <w:tabs>
          <w:tab w:val="left" w:pos="993"/>
        </w:tabs>
        <w:ind w:right="10" w:firstLine="567"/>
        <w:jc w:val="both"/>
        <w:rPr>
          <w:sz w:val="21"/>
        </w:rPr>
      </w:pPr>
      <w:r>
        <w:rPr>
          <w:sz w:val="21"/>
        </w:rPr>
        <w:t>Общество с ограниченной ответственностью «СтройАтомСфера» (далее - ООО «САТОМС»), именуемое в дальнейшем «Покупатель», в лице генерального директора Юрасовой Александры Юрьевны, действующего на основании Устава, и _______________(__________), именуемое в дальнейшем «Поставщик», в лице _______________ , действующего на основании ________, с другой стороны, заключили настоящий договор (далее - Договор) о нижеследующем:</w:t>
      </w:r>
    </w:p>
    <w:p w14:paraId="1124C742">
      <w:pPr>
        <w:widowControl w:val="0"/>
        <w:tabs>
          <w:tab w:val="left" w:pos="993"/>
        </w:tabs>
        <w:ind w:firstLine="567"/>
        <w:jc w:val="both"/>
        <w:rPr>
          <w:sz w:val="21"/>
        </w:rPr>
      </w:pPr>
    </w:p>
    <w:p w14:paraId="4AFCECCB">
      <w:pPr>
        <w:widowControl w:val="0"/>
        <w:tabs>
          <w:tab w:val="left" w:pos="993"/>
        </w:tabs>
        <w:ind w:firstLine="567"/>
        <w:jc w:val="center"/>
        <w:rPr>
          <w:b/>
          <w:sz w:val="21"/>
        </w:rPr>
      </w:pPr>
      <w:r>
        <w:rPr>
          <w:b/>
          <w:sz w:val="21"/>
        </w:rPr>
        <w:t>1. ПРЕДМЕТ ДОГОВОРА</w:t>
      </w:r>
    </w:p>
    <w:p w14:paraId="6414FBF7">
      <w:pPr>
        <w:widowControl w:val="0"/>
        <w:numPr>
          <w:ilvl w:val="1"/>
          <w:numId w:val="3"/>
        </w:numPr>
        <w:tabs>
          <w:tab w:val="left" w:pos="993"/>
          <w:tab w:val="left" w:pos="1080"/>
        </w:tabs>
        <w:ind w:left="0" w:firstLine="567"/>
        <w:jc w:val="both"/>
        <w:rPr>
          <w:sz w:val="21"/>
        </w:rPr>
      </w:pPr>
      <w:r>
        <w:rPr>
          <w:sz w:val="21"/>
        </w:rPr>
        <w:t xml:space="preserve"> Поставщик обязуется поставить Покупателю</w:t>
      </w:r>
      <w:r>
        <w:rPr>
          <w:rStyle w:val="109"/>
          <w:sz w:val="21"/>
        </w:rPr>
        <w:t xml:space="preserve"> </w:t>
      </w:r>
      <w:r>
        <w:rPr>
          <w:rStyle w:val="201"/>
          <w:b/>
          <w:sz w:val="21"/>
        </w:rPr>
        <w:t xml:space="preserve">шарики стальные </w:t>
      </w:r>
      <w:r>
        <w:rPr>
          <w:b/>
          <w:sz w:val="21"/>
        </w:rPr>
        <w:t>(далее – Товар)</w:t>
      </w:r>
      <w:r>
        <w:rPr>
          <w:sz w:val="21"/>
        </w:rPr>
        <w:t xml:space="preserve"> в соответствии со Спецификацией (Приложение № 1 к Договору) и Техническим заданием (Приложение № 2 к Договору), а Покупатель обязуется принять и оплатить Товар в порядке и на условиях, предусмотренных настоящим Договором.</w:t>
      </w:r>
    </w:p>
    <w:p w14:paraId="498072A5">
      <w:pPr>
        <w:widowControl w:val="0"/>
        <w:numPr>
          <w:ilvl w:val="1"/>
          <w:numId w:val="3"/>
        </w:numPr>
        <w:tabs>
          <w:tab w:val="left" w:pos="993"/>
          <w:tab w:val="left" w:pos="1080"/>
        </w:tabs>
        <w:ind w:left="0" w:firstLine="567"/>
        <w:jc w:val="both"/>
        <w:rPr>
          <w:sz w:val="21"/>
        </w:rPr>
      </w:pPr>
      <w:r>
        <w:rPr>
          <w:sz w:val="21"/>
        </w:rPr>
        <w:t>Количество, ассортимент и цена Товара указаны в Спецификации, являющейся неотъемлемой частью настоящего Договора (Приложение №1 к Договору).</w:t>
      </w:r>
      <w:bookmarkStart w:id="0" w:name="_Hlk99441200"/>
      <w:bookmarkEnd w:id="0"/>
      <w:bookmarkStart w:id="1" w:name="_Hlk64464073"/>
      <w:r>
        <w:rPr>
          <w:sz w:val="21"/>
        </w:rPr>
        <w:t xml:space="preserve"> </w:t>
      </w:r>
    </w:p>
    <w:p w14:paraId="6EB94919">
      <w:pPr>
        <w:widowControl w:val="0"/>
        <w:numPr>
          <w:ilvl w:val="1"/>
          <w:numId w:val="3"/>
        </w:numPr>
        <w:tabs>
          <w:tab w:val="left" w:pos="993"/>
          <w:tab w:val="left" w:pos="1080"/>
        </w:tabs>
        <w:ind w:left="0" w:firstLine="567"/>
        <w:jc w:val="both"/>
        <w:rPr>
          <w:sz w:val="21"/>
        </w:rPr>
      </w:pPr>
      <w:r>
        <w:rPr>
          <w:sz w:val="21"/>
        </w:rPr>
        <w:t>Место поставки Товара: г. Воронеж, ул. Солнечная 31лит16АБ. Разгрузка поступившего товара осуществляется силами Покупателя.</w:t>
      </w:r>
      <w:bookmarkEnd w:id="1"/>
    </w:p>
    <w:p w14:paraId="0199091B">
      <w:pPr>
        <w:widowControl w:val="0"/>
        <w:numPr>
          <w:ilvl w:val="1"/>
          <w:numId w:val="3"/>
        </w:numPr>
        <w:tabs>
          <w:tab w:val="left" w:pos="993"/>
          <w:tab w:val="left" w:pos="1080"/>
        </w:tabs>
        <w:ind w:left="0" w:firstLine="567"/>
        <w:jc w:val="both"/>
        <w:rPr>
          <w:sz w:val="21"/>
        </w:rPr>
      </w:pPr>
      <w:r>
        <w:rPr>
          <w:sz w:val="21"/>
        </w:rPr>
        <w:t xml:space="preserve">Поставка Товара осуществляется в </w:t>
      </w:r>
      <w:r>
        <w:rPr>
          <w:b/>
          <w:sz w:val="21"/>
        </w:rPr>
        <w:t xml:space="preserve">срок до 30.10.2026г..  </w:t>
      </w:r>
    </w:p>
    <w:p w14:paraId="66FF1045">
      <w:pPr>
        <w:widowControl w:val="0"/>
        <w:jc w:val="center"/>
        <w:rPr>
          <w:b/>
          <w:sz w:val="21"/>
        </w:rPr>
      </w:pPr>
    </w:p>
    <w:p w14:paraId="62202180">
      <w:pPr>
        <w:widowControl w:val="0"/>
        <w:jc w:val="center"/>
        <w:rPr>
          <w:b/>
          <w:sz w:val="21"/>
        </w:rPr>
      </w:pPr>
      <w:r>
        <w:rPr>
          <w:b/>
          <w:sz w:val="21"/>
        </w:rPr>
        <w:t xml:space="preserve">2. ЦЕНА ДОГОВОРА И ПОРЯДОК ОПЛАТЫ </w:t>
      </w:r>
    </w:p>
    <w:p w14:paraId="76BCD9A5">
      <w:pPr>
        <w:widowControl w:val="0"/>
        <w:tabs>
          <w:tab w:val="left" w:pos="851"/>
          <w:tab w:val="left" w:pos="1134"/>
        </w:tabs>
        <w:ind w:firstLine="567"/>
        <w:jc w:val="both"/>
        <w:rPr>
          <w:sz w:val="21"/>
          <w:szCs w:val="21"/>
        </w:rPr>
      </w:pPr>
      <w:bookmarkStart w:id="2" w:name="_Ref434926233"/>
      <w:bookmarkEnd w:id="2"/>
      <w:bookmarkStart w:id="3" w:name="_Hlk520734770"/>
      <w:r>
        <w:rPr>
          <w:spacing w:val="4"/>
          <w:sz w:val="21"/>
          <w:szCs w:val="21"/>
        </w:rPr>
        <w:t xml:space="preserve">2.1. </w:t>
      </w:r>
      <w:r>
        <w:rPr>
          <w:spacing w:val="4"/>
          <w:sz w:val="21"/>
          <w:szCs w:val="21"/>
          <w:highlight w:val="none"/>
          <w:lang w:val="ru-RU"/>
        </w:rPr>
        <w:t>Ц</w:t>
      </w:r>
      <w:r>
        <w:rPr>
          <w:spacing w:val="4"/>
          <w:sz w:val="21"/>
          <w:szCs w:val="21"/>
          <w:highlight w:val="none"/>
        </w:rPr>
        <w:t>ен</w:t>
      </w:r>
      <w:r>
        <w:rPr>
          <w:spacing w:val="4"/>
          <w:sz w:val="21"/>
          <w:szCs w:val="21"/>
        </w:rPr>
        <w:t>а Договора со</w:t>
      </w:r>
      <w:bookmarkStart w:id="7" w:name="_GoBack"/>
      <w:r>
        <w:rPr>
          <w:spacing w:val="4"/>
          <w:sz w:val="21"/>
          <w:szCs w:val="21"/>
          <w:highlight w:val="none"/>
        </w:rPr>
        <w:t xml:space="preserve">ставляет </w:t>
      </w:r>
      <w:r>
        <w:rPr>
          <w:rFonts w:hint="default"/>
          <w:b/>
          <w:bCs/>
          <w:sz w:val="21"/>
          <w:szCs w:val="21"/>
          <w:highlight w:val="none"/>
          <w:lang w:val="ru-RU"/>
        </w:rPr>
        <w:t>________</w:t>
      </w:r>
      <w:r>
        <w:rPr>
          <w:b/>
          <w:bCs/>
          <w:sz w:val="21"/>
          <w:szCs w:val="21"/>
          <w:highlight w:val="none"/>
        </w:rPr>
        <w:t>(</w:t>
      </w:r>
      <w:r>
        <w:rPr>
          <w:rFonts w:hint="default"/>
          <w:b/>
          <w:bCs/>
          <w:sz w:val="21"/>
          <w:szCs w:val="21"/>
          <w:highlight w:val="none"/>
          <w:lang w:val="ru-RU"/>
        </w:rPr>
        <w:t>_______________</w:t>
      </w:r>
      <w:r>
        <w:rPr>
          <w:b/>
          <w:bCs/>
          <w:sz w:val="21"/>
          <w:szCs w:val="21"/>
          <w:highlight w:val="none"/>
        </w:rPr>
        <w:t>) руб</w:t>
      </w:r>
      <w:r>
        <w:rPr>
          <w:rFonts w:hint="default"/>
          <w:b/>
          <w:bCs/>
          <w:sz w:val="21"/>
          <w:szCs w:val="21"/>
          <w:highlight w:val="none"/>
          <w:lang w:val="ru-RU"/>
        </w:rPr>
        <w:t>.</w:t>
      </w:r>
      <w:r>
        <w:rPr>
          <w:b/>
          <w:bCs/>
          <w:sz w:val="21"/>
          <w:szCs w:val="21"/>
          <w:highlight w:val="none"/>
        </w:rPr>
        <w:t xml:space="preserve"> </w:t>
      </w:r>
      <w:r>
        <w:rPr>
          <w:rFonts w:hint="default"/>
          <w:b/>
          <w:bCs/>
          <w:sz w:val="21"/>
          <w:szCs w:val="21"/>
          <w:highlight w:val="none"/>
          <w:lang w:val="ru-RU"/>
        </w:rPr>
        <w:t>00</w:t>
      </w:r>
      <w:r>
        <w:rPr>
          <w:b/>
          <w:bCs/>
          <w:sz w:val="21"/>
          <w:szCs w:val="21"/>
          <w:highlight w:val="none"/>
        </w:rPr>
        <w:t xml:space="preserve"> коп</w:t>
      </w:r>
      <w:r>
        <w:rPr>
          <w:rFonts w:hint="default"/>
          <w:b/>
          <w:bCs/>
          <w:sz w:val="21"/>
          <w:szCs w:val="21"/>
          <w:highlight w:val="none"/>
          <w:lang w:val="ru-RU"/>
        </w:rPr>
        <w:t>.</w:t>
      </w:r>
      <w:r>
        <w:rPr>
          <w:b/>
          <w:bCs/>
          <w:sz w:val="21"/>
          <w:szCs w:val="21"/>
          <w:highlight w:val="none"/>
        </w:rPr>
        <w:t>, в</w:t>
      </w:r>
      <w:bookmarkEnd w:id="7"/>
      <w:r>
        <w:rPr>
          <w:b/>
          <w:bCs/>
          <w:sz w:val="21"/>
          <w:szCs w:val="21"/>
        </w:rPr>
        <w:t xml:space="preserve"> том числе НДС по ставке ___% - ____________________</w:t>
      </w:r>
      <w:r>
        <w:rPr>
          <w:rFonts w:hint="default"/>
          <w:b/>
          <w:bCs/>
          <w:sz w:val="21"/>
          <w:szCs w:val="21"/>
          <w:highlight w:val="yellow"/>
          <w:lang w:val="ru-RU"/>
        </w:rPr>
        <w:t>(если предусмотрен)</w:t>
      </w:r>
      <w:r>
        <w:rPr>
          <w:b/>
          <w:bCs/>
          <w:sz w:val="21"/>
          <w:szCs w:val="21"/>
          <w:highlight w:val="yellow"/>
        </w:rPr>
        <w:t>.</w:t>
      </w:r>
    </w:p>
    <w:p w14:paraId="1A1645AF">
      <w:pPr>
        <w:widowControl w:val="0"/>
        <w:tabs>
          <w:tab w:val="left" w:pos="851"/>
          <w:tab w:val="left" w:pos="1134"/>
        </w:tabs>
        <w:ind w:firstLine="567"/>
        <w:jc w:val="both"/>
        <w:rPr>
          <w:sz w:val="21"/>
        </w:rPr>
      </w:pPr>
      <w:r>
        <w:rPr>
          <w:sz w:val="21"/>
        </w:rPr>
        <w:t>Цена Договора и валюта платежа устанавливаются в российских рублях (RUB).</w:t>
      </w:r>
      <w:bookmarkEnd w:id="3"/>
    </w:p>
    <w:p w14:paraId="764DE1F8">
      <w:pPr>
        <w:widowControl w:val="0"/>
        <w:tabs>
          <w:tab w:val="left" w:pos="851"/>
          <w:tab w:val="left" w:pos="1134"/>
        </w:tabs>
        <w:ind w:firstLine="567"/>
        <w:jc w:val="both"/>
        <w:rPr>
          <w:sz w:val="21"/>
          <w:highlight w:val="yellow"/>
        </w:rPr>
      </w:pPr>
      <w:r>
        <w:rPr>
          <w:sz w:val="22"/>
          <w:szCs w:val="22"/>
          <w:highlight w:val="yellow"/>
        </w:rPr>
        <w:t xml:space="preserve">Заказчик не обязан обеспечивать выборку объема </w:t>
      </w:r>
      <w:r>
        <w:rPr>
          <w:sz w:val="22"/>
          <w:szCs w:val="22"/>
          <w:highlight w:val="yellow"/>
          <w:lang w:val="ru-RU"/>
        </w:rPr>
        <w:t>товаров</w:t>
      </w:r>
      <w:r>
        <w:rPr>
          <w:sz w:val="22"/>
          <w:szCs w:val="22"/>
          <w:highlight w:val="yellow"/>
        </w:rPr>
        <w:t xml:space="preserve"> на общую максимальную стоимость </w:t>
      </w:r>
      <w:r>
        <w:rPr>
          <w:sz w:val="22"/>
          <w:szCs w:val="22"/>
          <w:highlight w:val="yellow"/>
          <w:lang w:val="ru-RU"/>
        </w:rPr>
        <w:t>товаров</w:t>
      </w:r>
      <w:r>
        <w:rPr>
          <w:sz w:val="22"/>
          <w:szCs w:val="22"/>
          <w:highlight w:val="yellow"/>
        </w:rPr>
        <w:t xml:space="preserve"> по Договору. Соответственно, Заказчик не несёт никакой ответственности за выборку объема </w:t>
      </w:r>
      <w:r>
        <w:rPr>
          <w:sz w:val="22"/>
          <w:szCs w:val="22"/>
          <w:highlight w:val="yellow"/>
          <w:lang w:val="ru-RU"/>
        </w:rPr>
        <w:t>товаров</w:t>
      </w:r>
      <w:r>
        <w:rPr>
          <w:rFonts w:hint="default"/>
          <w:sz w:val="22"/>
          <w:szCs w:val="22"/>
          <w:highlight w:val="yellow"/>
          <w:lang w:val="ru-RU"/>
        </w:rPr>
        <w:t xml:space="preserve"> </w:t>
      </w:r>
      <w:r>
        <w:rPr>
          <w:sz w:val="22"/>
          <w:szCs w:val="22"/>
          <w:highlight w:val="yellow"/>
        </w:rPr>
        <w:t xml:space="preserve">на сумму меньше, чем общая максимальная стоимость </w:t>
      </w:r>
      <w:r>
        <w:rPr>
          <w:sz w:val="22"/>
          <w:szCs w:val="22"/>
          <w:highlight w:val="yellow"/>
          <w:lang w:val="ru-RU"/>
        </w:rPr>
        <w:t>товаров</w:t>
      </w:r>
      <w:r>
        <w:rPr>
          <w:sz w:val="22"/>
          <w:szCs w:val="22"/>
          <w:highlight w:val="yellow"/>
        </w:rPr>
        <w:t xml:space="preserve"> по Договору.</w:t>
      </w:r>
    </w:p>
    <w:p w14:paraId="11BC6785">
      <w:pPr>
        <w:widowControl w:val="0"/>
        <w:ind w:firstLine="567"/>
        <w:jc w:val="both"/>
        <w:rPr>
          <w:sz w:val="21"/>
        </w:rPr>
      </w:pPr>
      <w:r>
        <w:rPr>
          <w:sz w:val="21"/>
        </w:rPr>
        <w:t xml:space="preserve">2.2. Все расчеты производятся в безналичной форме, путем перечисления денежных средств со счета Покупателя на расчетный счет Поставщика, указанный в реквизитах настоящего Договора в следующем порядке: </w:t>
      </w:r>
    </w:p>
    <w:p w14:paraId="5E05773A">
      <w:pPr>
        <w:widowControl w:val="0"/>
        <w:ind w:firstLine="567"/>
        <w:jc w:val="both"/>
        <w:rPr>
          <w:sz w:val="21"/>
        </w:rPr>
      </w:pPr>
      <w:r>
        <w:rPr>
          <w:sz w:val="21"/>
        </w:rPr>
        <w:t xml:space="preserve">2.2.1. Платеж в размере 100% от стоимости поставленной партии Товара производится Покупателем на расчетный счет Поставщика, в срок не более  </w:t>
      </w:r>
      <w:sdt>
        <w:sdtPr>
          <w:rPr>
            <w:sz w:val="21"/>
          </w:rPr>
          <w:id w:val="1148940143"/>
          <w:placeholder>
            <w:docPart w:val="DefaultPlaceholder_-1854013439"/>
          </w:placeholder>
          <w:comboBox>
            <w:listItem w:value="Выберите элемент."/>
            <w:listItem w:displayText="7 (семи) рабочих дней" w:value="7 (семи) рабочих дней"/>
            <w:listItem w:displayText="15 (пятнадцати) календарных дней" w:value="15 (пятнадцати) календарных дней"/>
            <w:listItem w:displayText="45 (сорока пяти) календарных дней" w:value="45 (сорока пяти) календарных дней"/>
          </w:comboBox>
        </w:sdtPr>
        <w:sdtEndPr>
          <w:rPr>
            <w:sz w:val="21"/>
          </w:rPr>
        </w:sdtEndPr>
        <w:sdtContent>
          <w:r>
            <w:rPr>
              <w:sz w:val="21"/>
            </w:rPr>
            <w:t>45 (сорока пяти ) календарных дней</w:t>
          </w:r>
        </w:sdtContent>
      </w:sdt>
      <w:r>
        <w:rPr>
          <w:sz w:val="21"/>
        </w:rPr>
        <w:t xml:space="preserve"> с даты поставки партии Товара в полном объеме на склад Покупателя, при условии его надлежащей комплектности и предоставления Поставщиком всех необходимых документов по Договору.</w:t>
      </w:r>
    </w:p>
    <w:p w14:paraId="4B580BE9">
      <w:pPr>
        <w:ind w:firstLine="567"/>
        <w:jc w:val="both"/>
        <w:rPr>
          <w:sz w:val="21"/>
        </w:rPr>
      </w:pPr>
      <w:r>
        <w:rPr>
          <w:sz w:val="21"/>
        </w:rPr>
        <w:t xml:space="preserve">2.3. Покупатель вправе отказаться от оплаты поставленного в соответствии со Спецификацией к Договору (Приложение № 1 к Договору) Товара ненадлежащего качества, либо некомплектного Товара, </w:t>
      </w:r>
      <w:r>
        <w:rPr>
          <w:color w:val="auto"/>
          <w:sz w:val="21"/>
        </w:rPr>
        <w:t>вплоть до устранения Поставщиком недостатков и доукомплектования Товара, либо его замены.</w:t>
      </w:r>
    </w:p>
    <w:p w14:paraId="22E6726C">
      <w:pPr>
        <w:widowControl w:val="0"/>
        <w:tabs>
          <w:tab w:val="left" w:pos="567"/>
        </w:tabs>
        <w:ind w:firstLine="567"/>
        <w:jc w:val="both"/>
        <w:rPr>
          <w:sz w:val="21"/>
        </w:rPr>
      </w:pPr>
      <w:r>
        <w:rPr>
          <w:sz w:val="21"/>
        </w:rPr>
        <w:t>2.4. Цена Товара включает все налоги, пошлины или сборы, взимаемые на территории Российской Федерации в соответствии с действующими законодательствами.</w:t>
      </w:r>
    </w:p>
    <w:p w14:paraId="568AC56F">
      <w:pPr>
        <w:widowControl w:val="0"/>
        <w:ind w:firstLine="567"/>
        <w:jc w:val="both"/>
        <w:rPr>
          <w:sz w:val="21"/>
        </w:rPr>
      </w:pPr>
      <w:r>
        <w:rPr>
          <w:sz w:val="21"/>
        </w:rPr>
        <w:t>2.5. Цена Договора также включает в себя общую стоимость Товара, стоимость сопутствующих работ/услуг (упаковку, маркировку, погрузку, страхование и прочих расходов, которые Поставщик может понести в связи с исполнением настоящего Договора, а также установленные законодательством Российской Федерации обязательные платежи), которые оплачиваются Поставщиком.</w:t>
      </w:r>
    </w:p>
    <w:p w14:paraId="24C50FB6">
      <w:pPr>
        <w:widowControl w:val="0"/>
        <w:tabs>
          <w:tab w:val="left" w:pos="1080"/>
        </w:tabs>
        <w:ind w:firstLine="567"/>
        <w:jc w:val="both"/>
        <w:rPr>
          <w:sz w:val="21"/>
        </w:rPr>
      </w:pPr>
      <w:r>
        <w:rPr>
          <w:sz w:val="21"/>
        </w:rPr>
        <w:t>2.6. Цена за единицу Товара является фиксированной и не подлежит изменению в течение всего срока действия настоящего Договора.</w:t>
      </w:r>
    </w:p>
    <w:p w14:paraId="36F89189">
      <w:pPr>
        <w:widowControl w:val="0"/>
        <w:ind w:firstLine="708"/>
        <w:jc w:val="both"/>
        <w:rPr>
          <w:sz w:val="21"/>
        </w:rPr>
      </w:pPr>
    </w:p>
    <w:p w14:paraId="78F3F521">
      <w:pPr>
        <w:widowControl w:val="0"/>
        <w:jc w:val="center"/>
        <w:rPr>
          <w:b/>
          <w:sz w:val="21"/>
        </w:rPr>
      </w:pPr>
      <w:r>
        <w:rPr>
          <w:b/>
          <w:sz w:val="21"/>
        </w:rPr>
        <w:t>3. ПРАВА И ОБЯЗАННОСТИ СТОРОН</w:t>
      </w:r>
    </w:p>
    <w:p w14:paraId="420FF451">
      <w:pPr>
        <w:widowControl w:val="0"/>
        <w:tabs>
          <w:tab w:val="left" w:pos="1134"/>
        </w:tabs>
        <w:ind w:firstLine="567"/>
        <w:jc w:val="both"/>
        <w:rPr>
          <w:b/>
          <w:sz w:val="21"/>
        </w:rPr>
      </w:pPr>
      <w:r>
        <w:rPr>
          <w:b/>
          <w:sz w:val="21"/>
        </w:rPr>
        <w:t>3.1. Поставщик обязан:</w:t>
      </w:r>
    </w:p>
    <w:p w14:paraId="791C8EAE">
      <w:pPr>
        <w:widowControl w:val="0"/>
        <w:tabs>
          <w:tab w:val="left" w:pos="1134"/>
        </w:tabs>
        <w:ind w:firstLine="567"/>
        <w:jc w:val="both"/>
        <w:rPr>
          <w:sz w:val="21"/>
        </w:rPr>
      </w:pPr>
      <w:r>
        <w:rPr>
          <w:sz w:val="21"/>
        </w:rPr>
        <w:t>3.1.1. Укомплектовать Товар надлежащего качества, в ассортименте, количестве и в сроки, предусмотренные настоящим Договором и незамедлительно сообщить Покупателю о готовности партии к отгрузке посредством электронной почты.</w:t>
      </w:r>
    </w:p>
    <w:p w14:paraId="579A9F72">
      <w:pPr>
        <w:widowControl w:val="0"/>
        <w:tabs>
          <w:tab w:val="left" w:pos="1134"/>
        </w:tabs>
        <w:ind w:firstLine="567"/>
        <w:jc w:val="both"/>
        <w:rPr>
          <w:b/>
          <w:sz w:val="21"/>
        </w:rPr>
      </w:pPr>
      <w:r>
        <w:rPr>
          <w:sz w:val="21"/>
        </w:rPr>
        <w:t xml:space="preserve">3.1.2. Одновременно с поставкой Товара предоставить на Товар оригиналы следующих документов: копию сертификата качества (паспорт качества) производителя на каждую партию Товара, товарную, товарно-транспортную (транспортную) накладную (при наличии), счёт и счет-фактуру/УПД, с указанием номера настоящего Договора. </w:t>
      </w:r>
    </w:p>
    <w:p w14:paraId="61E3CA87">
      <w:pPr>
        <w:widowControl w:val="0"/>
        <w:tabs>
          <w:tab w:val="left" w:pos="1134"/>
        </w:tabs>
        <w:ind w:firstLine="567"/>
        <w:jc w:val="both"/>
        <w:rPr>
          <w:b/>
          <w:sz w:val="21"/>
        </w:rPr>
      </w:pPr>
      <w:r>
        <w:rPr>
          <w:sz w:val="21"/>
        </w:rPr>
        <w:t xml:space="preserve">Указанные документы должны быть направлены почтой либо курьером по адресу, указанному в реквизитах Договора. Электронные копии указанных документов должны быть направлены также по электронному адресу: </w:t>
      </w:r>
      <w:r>
        <w:rPr>
          <w:sz w:val="21"/>
          <w:szCs w:val="21"/>
          <w:highlight w:val="yellow"/>
          <w:u w:val="single"/>
        </w:rPr>
        <w:t>___________________</w:t>
      </w:r>
    </w:p>
    <w:p w14:paraId="7ADD8F61">
      <w:pPr>
        <w:widowControl w:val="0"/>
        <w:tabs>
          <w:tab w:val="left" w:pos="1134"/>
          <w:tab w:val="left" w:pos="1713"/>
        </w:tabs>
        <w:ind w:firstLine="567"/>
        <w:jc w:val="both"/>
        <w:rPr>
          <w:sz w:val="21"/>
        </w:rPr>
      </w:pPr>
      <w:r>
        <w:rPr>
          <w:sz w:val="21"/>
        </w:rPr>
        <w:t>3.1.3. Предоставить Покупателю гарантию качества Товара в соответствии с условиями настоящего Договора.</w:t>
      </w:r>
    </w:p>
    <w:p w14:paraId="20D2837C">
      <w:pPr>
        <w:widowControl w:val="0"/>
        <w:tabs>
          <w:tab w:val="left" w:pos="1134"/>
          <w:tab w:val="left" w:pos="1713"/>
        </w:tabs>
        <w:ind w:firstLine="567"/>
        <w:jc w:val="both"/>
        <w:rPr>
          <w:sz w:val="21"/>
        </w:rPr>
      </w:pPr>
      <w:r>
        <w:rPr>
          <w:sz w:val="21"/>
        </w:rPr>
        <w:t xml:space="preserve">3.1.4. Не разглашать конфиденциальную информацию третьим лицам и не использовать ее для каких-либо целей, кроме связанных с выполнением обязательств по настоящему Договору. </w:t>
      </w:r>
    </w:p>
    <w:p w14:paraId="470B00A4">
      <w:pPr>
        <w:widowControl w:val="0"/>
        <w:tabs>
          <w:tab w:val="left" w:pos="1134"/>
        </w:tabs>
        <w:ind w:firstLine="567"/>
        <w:jc w:val="both"/>
        <w:rPr>
          <w:sz w:val="21"/>
        </w:rPr>
      </w:pPr>
      <w:r>
        <w:rPr>
          <w:sz w:val="21"/>
        </w:rPr>
        <w:t>3.1.5. Не нарушать при исполнении обязательств по настоящему Договору имущественные и неимущественные права Покупателя и третьих лиц. Использовать объекты интеллектуальной собственности или средства индивидуализации (товарный знак, знак обслуживания и т.п.) на основании письменного согласия правообладателя.</w:t>
      </w:r>
    </w:p>
    <w:p w14:paraId="0C247031">
      <w:pPr>
        <w:widowControl w:val="0"/>
        <w:tabs>
          <w:tab w:val="left" w:pos="1134"/>
        </w:tabs>
        <w:ind w:firstLine="567"/>
        <w:jc w:val="both"/>
        <w:rPr>
          <w:b/>
          <w:sz w:val="21"/>
        </w:rPr>
      </w:pPr>
      <w:r>
        <w:rPr>
          <w:b/>
          <w:sz w:val="21"/>
        </w:rPr>
        <w:t>3.2. Поставщик имеет право:</w:t>
      </w:r>
    </w:p>
    <w:p w14:paraId="6CF0CEC1">
      <w:pPr>
        <w:widowControl w:val="0"/>
        <w:tabs>
          <w:tab w:val="left" w:pos="1134"/>
        </w:tabs>
        <w:ind w:firstLine="567"/>
        <w:jc w:val="both"/>
        <w:rPr>
          <w:sz w:val="21"/>
        </w:rPr>
      </w:pPr>
      <w:r>
        <w:rPr>
          <w:sz w:val="21"/>
        </w:rPr>
        <w:t>3.2.1. По согласованию с Покупателем поставить Товар досрочно и получить в полном объеме оплату в соответствии с условиями настоящего Договора.</w:t>
      </w:r>
    </w:p>
    <w:p w14:paraId="6D38C2D6">
      <w:pPr>
        <w:widowControl w:val="0"/>
        <w:tabs>
          <w:tab w:val="left" w:pos="1134"/>
        </w:tabs>
        <w:ind w:firstLine="567"/>
        <w:jc w:val="both"/>
        <w:rPr>
          <w:sz w:val="21"/>
        </w:rPr>
      </w:pPr>
      <w:r>
        <w:rPr>
          <w:sz w:val="21"/>
        </w:rPr>
        <w:t>3.2.2. Требовать своевременного подписания представленных Поставщиком товаросопроводительных документов и материалов и при условии истечения установленного настоящим Договором срока подписания данных документов.</w:t>
      </w:r>
    </w:p>
    <w:p w14:paraId="35978E58">
      <w:pPr>
        <w:widowControl w:val="0"/>
        <w:tabs>
          <w:tab w:val="left" w:pos="1134"/>
        </w:tabs>
        <w:ind w:firstLine="567"/>
        <w:jc w:val="both"/>
        <w:rPr>
          <w:sz w:val="21"/>
        </w:rPr>
      </w:pPr>
      <w:r>
        <w:rPr>
          <w:sz w:val="21"/>
        </w:rPr>
        <w:t xml:space="preserve">3.2.3. Требовать своевременной оплаты поставленного Товара в соответствии с подписанными Сторонами настоящего Договора товаросопроводительными документами, подтверждающими поставку Товара. </w:t>
      </w:r>
    </w:p>
    <w:p w14:paraId="123C9087">
      <w:pPr>
        <w:widowControl w:val="0"/>
        <w:tabs>
          <w:tab w:val="left" w:pos="1134"/>
        </w:tabs>
        <w:ind w:firstLine="567"/>
        <w:jc w:val="both"/>
        <w:rPr>
          <w:b/>
          <w:sz w:val="21"/>
        </w:rPr>
      </w:pPr>
      <w:r>
        <w:rPr>
          <w:b/>
          <w:sz w:val="21"/>
        </w:rPr>
        <w:t>3.3. Покупатель обязан:</w:t>
      </w:r>
    </w:p>
    <w:p w14:paraId="38813441">
      <w:pPr>
        <w:widowControl w:val="0"/>
        <w:tabs>
          <w:tab w:val="left" w:pos="1134"/>
        </w:tabs>
        <w:ind w:firstLine="567"/>
        <w:jc w:val="both"/>
        <w:rPr>
          <w:sz w:val="21"/>
        </w:rPr>
      </w:pPr>
      <w:r>
        <w:rPr>
          <w:sz w:val="21"/>
        </w:rPr>
        <w:t>3.3.1. Принять и оплатить Товар в согласованном Сторонами объеме, количестве и в сроки, установленные настоящим Договором.</w:t>
      </w:r>
    </w:p>
    <w:p w14:paraId="4FBE77B5">
      <w:pPr>
        <w:widowControl w:val="0"/>
        <w:tabs>
          <w:tab w:val="left" w:pos="1134"/>
        </w:tabs>
        <w:ind w:firstLine="567"/>
        <w:jc w:val="both"/>
        <w:rPr>
          <w:sz w:val="21"/>
        </w:rPr>
      </w:pPr>
      <w:r>
        <w:rPr>
          <w:sz w:val="21"/>
        </w:rPr>
        <w:t>3.3.2. Осуществлять проверку при приемке Товара по количеству и качеству.</w:t>
      </w:r>
    </w:p>
    <w:p w14:paraId="59032947">
      <w:pPr>
        <w:widowControl w:val="0"/>
        <w:tabs>
          <w:tab w:val="left" w:pos="1134"/>
        </w:tabs>
        <w:ind w:firstLine="567"/>
        <w:jc w:val="both"/>
        <w:rPr>
          <w:b/>
          <w:sz w:val="21"/>
        </w:rPr>
      </w:pPr>
      <w:r>
        <w:rPr>
          <w:b/>
          <w:sz w:val="21"/>
        </w:rPr>
        <w:t>3.4. Покупатель имеет право:</w:t>
      </w:r>
    </w:p>
    <w:p w14:paraId="6953706B">
      <w:pPr>
        <w:widowControl w:val="0"/>
        <w:tabs>
          <w:tab w:val="left" w:pos="1134"/>
        </w:tabs>
        <w:ind w:firstLine="567"/>
        <w:jc w:val="both"/>
        <w:rPr>
          <w:sz w:val="21"/>
        </w:rPr>
      </w:pPr>
      <w:r>
        <w:rPr>
          <w:sz w:val="21"/>
        </w:rPr>
        <w:t>3.4.1. Контролировать ход и качество выполнения Поставщиком поставки Товара, не вмешиваясь в его деятельность.</w:t>
      </w:r>
    </w:p>
    <w:p w14:paraId="410C9ABA">
      <w:pPr>
        <w:widowControl w:val="0"/>
        <w:tabs>
          <w:tab w:val="left" w:pos="1134"/>
        </w:tabs>
        <w:ind w:firstLine="567"/>
        <w:jc w:val="both"/>
        <w:rPr>
          <w:sz w:val="21"/>
        </w:rPr>
      </w:pPr>
      <w:r>
        <w:rPr>
          <w:sz w:val="21"/>
        </w:rPr>
        <w:t>3.4.2. Требовать от Поставщика осуществить в установленный настоящим Договором срок поставку Товара (партии Товара), соответствующего качеству, количеству и комплектности, в соответствии со Спецификацией.</w:t>
      </w:r>
    </w:p>
    <w:p w14:paraId="1B98B3F4">
      <w:pPr>
        <w:widowControl w:val="0"/>
        <w:tabs>
          <w:tab w:val="left" w:pos="1134"/>
        </w:tabs>
        <w:ind w:firstLine="567"/>
        <w:jc w:val="both"/>
        <w:rPr>
          <w:sz w:val="21"/>
        </w:rPr>
      </w:pPr>
      <w:r>
        <w:rPr>
          <w:sz w:val="21"/>
        </w:rPr>
        <w:t>3.4.3. Отказаться от оплаты расходов, не предусмотренных настоящим Договором.</w:t>
      </w:r>
    </w:p>
    <w:p w14:paraId="2EA1AFA3">
      <w:pPr>
        <w:widowControl w:val="0"/>
        <w:tabs>
          <w:tab w:val="left" w:pos="1134"/>
        </w:tabs>
        <w:ind w:firstLine="567"/>
        <w:jc w:val="both"/>
        <w:rPr>
          <w:sz w:val="21"/>
        </w:rPr>
      </w:pPr>
      <w:r>
        <w:rPr>
          <w:sz w:val="21"/>
        </w:rPr>
        <w:t>3.4.4. Покупатель имеет право не оплачивать Товар до получения от Поставщика начисленных в соответствии с Договором неустоек и иных сумм, подлежащих перечислению Покупателю по условиям Договора, либо удержать их из денежных средств, причитающихся Поставщику по любому из заключенных с Поставщиком Договоров (если таковые имеются), или зачесть против требований Поставщика об оплате Товара и/или иных сумм по любому из заключенных с Поставщиком Договоров (если таковые имеются).</w:t>
      </w:r>
    </w:p>
    <w:p w14:paraId="022F667D">
      <w:pPr>
        <w:widowControl w:val="0"/>
        <w:tabs>
          <w:tab w:val="left" w:pos="1134"/>
        </w:tabs>
        <w:ind w:firstLine="567"/>
        <w:jc w:val="both"/>
        <w:rPr>
          <w:sz w:val="21"/>
        </w:rPr>
      </w:pPr>
    </w:p>
    <w:p w14:paraId="6F7B8C8B">
      <w:pPr>
        <w:widowControl w:val="0"/>
        <w:tabs>
          <w:tab w:val="left" w:pos="284"/>
          <w:tab w:val="left" w:pos="1134"/>
        </w:tabs>
        <w:ind w:firstLine="567"/>
        <w:jc w:val="center"/>
        <w:rPr>
          <w:b/>
          <w:caps/>
          <w:sz w:val="21"/>
        </w:rPr>
      </w:pPr>
      <w:r>
        <w:rPr>
          <w:b/>
          <w:caps/>
          <w:sz w:val="21"/>
        </w:rPr>
        <w:t>4. СРОКИ, Порядок поставки и приемки Товара</w:t>
      </w:r>
    </w:p>
    <w:p w14:paraId="2CD6BC42">
      <w:pPr>
        <w:widowControl w:val="0"/>
        <w:tabs>
          <w:tab w:val="left" w:pos="1134"/>
        </w:tabs>
        <w:ind w:firstLine="567"/>
        <w:jc w:val="both"/>
        <w:rPr>
          <w:sz w:val="21"/>
        </w:rPr>
      </w:pPr>
      <w:r>
        <w:rPr>
          <w:sz w:val="21"/>
        </w:rPr>
        <w:t>4.1. Поставка Товара Покупателю осуществляется путем отгрузки по адресу, указанному в п. 1.3 Договора,  на склад Покупателя.</w:t>
      </w:r>
    </w:p>
    <w:p w14:paraId="4500F6C9">
      <w:pPr>
        <w:widowControl w:val="0"/>
        <w:tabs>
          <w:tab w:val="left" w:pos="1134"/>
        </w:tabs>
        <w:ind w:firstLine="567"/>
        <w:jc w:val="both"/>
        <w:rPr>
          <w:sz w:val="21"/>
          <w:shd w:val="clear" w:color="auto" w:fill="FFD821"/>
        </w:rPr>
      </w:pPr>
      <w:r>
        <w:rPr>
          <w:sz w:val="21"/>
        </w:rPr>
        <w:t>4.2. Приемка Товара (партии Товара) по количеству мест, а также проверка соответствия фактической маркировки поставленного Товара (партии Товара) данным технической документации (ярлыки, бирки, клеймение, заводской номер, печать отдела технического контроля, прокатная маркировка и т.д.), а также на соответствие требованиям Технического задания (Приложение № 2 к Договору), осуществляется в месте поставки, указанном в п.1.3 Договора.</w:t>
      </w:r>
    </w:p>
    <w:p w14:paraId="51084972">
      <w:pPr>
        <w:widowControl w:val="0"/>
        <w:tabs>
          <w:tab w:val="left" w:pos="1134"/>
        </w:tabs>
        <w:ind w:firstLine="567"/>
        <w:jc w:val="both"/>
        <w:rPr>
          <w:sz w:val="21"/>
        </w:rPr>
      </w:pPr>
      <w:r>
        <w:rPr>
          <w:sz w:val="21"/>
        </w:rPr>
        <w:t>4.2.1. Приемка Товара в месте отгрузки включает в себя следующие этапы:</w:t>
      </w:r>
    </w:p>
    <w:p w14:paraId="45F67EBE">
      <w:pPr>
        <w:widowControl w:val="0"/>
        <w:tabs>
          <w:tab w:val="left" w:pos="1134"/>
        </w:tabs>
        <w:ind w:firstLine="567"/>
        <w:jc w:val="both"/>
        <w:rPr>
          <w:sz w:val="21"/>
        </w:rPr>
      </w:pPr>
      <w:r>
        <w:rPr>
          <w:sz w:val="21"/>
        </w:rPr>
        <w:t>– проверка по товарным накладным и/или товарно-транспортным накладным и/или транспортным накладным и/или УПД количества и номенклатуры поставленного Товара на соответствие Спецификации Договора;</w:t>
      </w:r>
    </w:p>
    <w:p w14:paraId="1C69212F">
      <w:pPr>
        <w:widowControl w:val="0"/>
        <w:tabs>
          <w:tab w:val="left" w:pos="1134"/>
        </w:tabs>
        <w:ind w:firstLine="567"/>
        <w:jc w:val="both"/>
        <w:rPr>
          <w:sz w:val="21"/>
        </w:rPr>
      </w:pPr>
      <w:r>
        <w:rPr>
          <w:sz w:val="21"/>
        </w:rPr>
        <w:t>– контроль наличия/отсутствия внешних повреждений;</w:t>
      </w:r>
    </w:p>
    <w:p w14:paraId="082AB99B">
      <w:pPr>
        <w:widowControl w:val="0"/>
        <w:tabs>
          <w:tab w:val="left" w:pos="1134"/>
        </w:tabs>
        <w:ind w:firstLine="567"/>
        <w:jc w:val="both"/>
        <w:rPr>
          <w:sz w:val="21"/>
        </w:rPr>
      </w:pPr>
      <w:r>
        <w:rPr>
          <w:sz w:val="21"/>
        </w:rPr>
        <w:t>– проверка наличия, паспортов (сертификатов) качества.</w:t>
      </w:r>
    </w:p>
    <w:p w14:paraId="6A1F2541">
      <w:pPr>
        <w:widowControl w:val="0"/>
        <w:tabs>
          <w:tab w:val="left" w:pos="1134"/>
        </w:tabs>
        <w:ind w:firstLine="567"/>
        <w:jc w:val="both"/>
        <w:rPr>
          <w:sz w:val="21"/>
        </w:rPr>
      </w:pPr>
      <w:r>
        <w:rPr>
          <w:sz w:val="21"/>
        </w:rPr>
        <w:t>4.3. Приемка-передача Товара в месте отгрузки подтверждается подписанием товарной накладной и/или товарно-транспортной накладной и/или транспортной накладной и/или УПД. При подписании товарной накладной или УПД Покупателем делается отметка о приемке по количеству мест без вскрытия упаковки и проверки по качеству.</w:t>
      </w:r>
    </w:p>
    <w:p w14:paraId="47E5266C">
      <w:pPr>
        <w:widowControl w:val="0"/>
        <w:tabs>
          <w:tab w:val="left" w:pos="1134"/>
        </w:tabs>
        <w:ind w:firstLine="567"/>
        <w:jc w:val="both"/>
        <w:rPr>
          <w:sz w:val="21"/>
        </w:rPr>
      </w:pPr>
      <w:r>
        <w:rPr>
          <w:sz w:val="21"/>
        </w:rPr>
        <w:t>4.4. При обнаружении несоответствия количества и/или ассортимента условиям Договора Покупатель вызывает любым доступным способом связи Представителя Поставщика для участия в продолжении приемки и составлении Акта об установленном расхождении по количеству при приемке Товара (далее – Акт). О составлении данного Акта в товарной накладной/УПД делается соответствующая отметка.</w:t>
      </w:r>
    </w:p>
    <w:p w14:paraId="3CFFE815">
      <w:pPr>
        <w:widowControl w:val="0"/>
        <w:tabs>
          <w:tab w:val="left" w:pos="1134"/>
          <w:tab w:val="left" w:pos="1260"/>
        </w:tabs>
        <w:ind w:firstLine="567"/>
        <w:jc w:val="both"/>
        <w:rPr>
          <w:sz w:val="21"/>
        </w:rPr>
      </w:pPr>
      <w:r>
        <w:rPr>
          <w:sz w:val="21"/>
        </w:rPr>
        <w:t xml:space="preserve">4.5. В случае если представитель Поставщика не прибыл в течение 10 (Десяти) рабочих дней с момента получения уведомления, Покупатель в течение 10 (Десяти) календарных дней, со дня, когда представитель Поставщика должен был явиться для составления Акта, составляет односторонний Акт приемки товара и направляет соответствующие документы Поставщику. </w:t>
      </w:r>
    </w:p>
    <w:p w14:paraId="713A82F8">
      <w:pPr>
        <w:widowControl w:val="0"/>
        <w:tabs>
          <w:tab w:val="left" w:pos="1134"/>
        </w:tabs>
        <w:ind w:firstLine="567"/>
        <w:jc w:val="both"/>
        <w:rPr>
          <w:sz w:val="21"/>
        </w:rPr>
      </w:pPr>
      <w:r>
        <w:rPr>
          <w:sz w:val="21"/>
        </w:rPr>
        <w:t>4.6. Срок прибытия представителя Поставщика – 5 (Пять) рабочих дней с момента доставки уведомления Поставщику, если иной срок не установлен в вызове. Представитель Поставщика, прибывший для составления акта, должен иметь при себе оригинал надлежащим образом оформленной доверенности на право подписания Акта.</w:t>
      </w:r>
    </w:p>
    <w:p w14:paraId="6CBF5981">
      <w:pPr>
        <w:widowControl w:val="0"/>
        <w:tabs>
          <w:tab w:val="left" w:pos="1134"/>
        </w:tabs>
        <w:ind w:firstLine="567"/>
        <w:jc w:val="both"/>
        <w:rPr>
          <w:sz w:val="21"/>
        </w:rPr>
      </w:pPr>
      <w:r>
        <w:rPr>
          <w:sz w:val="21"/>
        </w:rPr>
        <w:t>В случае неявки представителя Поставщика в установленный Договором или уведомлением срок, а также отсутствия у представителя Поставщика документально подтвержденных полномочий, составление Акта осуществляется Покупателем в одностороннем порядке.</w:t>
      </w:r>
    </w:p>
    <w:p w14:paraId="03D99BFC">
      <w:pPr>
        <w:widowControl w:val="0"/>
        <w:tabs>
          <w:tab w:val="left" w:pos="1134"/>
        </w:tabs>
        <w:ind w:firstLine="567"/>
        <w:jc w:val="both"/>
        <w:rPr>
          <w:sz w:val="21"/>
        </w:rPr>
      </w:pPr>
      <w:r>
        <w:rPr>
          <w:sz w:val="21"/>
        </w:rPr>
        <w:t>Акт, в том числе составленный Покупателем в одностороннем порядке, имеет силу надлежащего доказательства недостатков/несоответствий/дефектов Товара.</w:t>
      </w:r>
    </w:p>
    <w:p w14:paraId="4E41B83C">
      <w:pPr>
        <w:widowControl w:val="0"/>
        <w:tabs>
          <w:tab w:val="left" w:pos="1134"/>
        </w:tabs>
        <w:ind w:firstLine="567"/>
        <w:jc w:val="both"/>
        <w:rPr>
          <w:sz w:val="21"/>
        </w:rPr>
      </w:pPr>
      <w:r>
        <w:rPr>
          <w:sz w:val="21"/>
        </w:rPr>
        <w:t>Замена, устранение производственных дефектов, доукомплектование и восполнение недостающего Товара, в том числе выявленных в период гарантийного срока производится Поставщиком за свой счет в сроки, согласованные Сторонами при составлении Акта, а если такой Акт составляется в одностороннем порядке при неявке представителя Поставщика или отсутствия полномочий у представителя Поставщика, то в сроки, которые установлены Покупателем в таком Акте.</w:t>
      </w:r>
    </w:p>
    <w:p w14:paraId="4A45BDA6">
      <w:pPr>
        <w:widowControl w:val="0"/>
        <w:tabs>
          <w:tab w:val="left" w:pos="1134"/>
        </w:tabs>
        <w:ind w:firstLine="567"/>
        <w:jc w:val="both"/>
        <w:rPr>
          <w:sz w:val="21"/>
        </w:rPr>
      </w:pPr>
      <w:r>
        <w:rPr>
          <w:sz w:val="21"/>
        </w:rPr>
        <w:t xml:space="preserve"> Поставщик обязан произвести замену Товара в срок, согласованный с Покупателем или указанный Покупателем (в случае составление одностороннего Акта). При нарушении данного срока наступает ответственность, предусмотренная п. 9.3. настоящего Договора. Транспортные расходы Поставщика, связанные с проведением замены Товара, Покупателем не возмещаются. В противном случае такой Товар не засчитывается в счет выполнения Поставщиком своих обязательств по Договору. Кроме того, в случае неявки уполномоченного представителя Поставщика в срок, установленный Договором или уведомлением, либо необоснованного отказа от подписания Акта, Покупатель вправе устранить недостатки и/или дефекты собственными или привлеченными силами, с отнесением всех документально подтвержденных затрат и расходов на Поставщика. Дефектный Товар возвращается Поставщику за его счет после поставки нового Товара надлежащего качества.</w:t>
      </w:r>
    </w:p>
    <w:p w14:paraId="708959B3">
      <w:pPr>
        <w:widowControl w:val="0"/>
        <w:tabs>
          <w:tab w:val="left" w:pos="1134"/>
        </w:tabs>
        <w:ind w:firstLine="567"/>
        <w:jc w:val="both"/>
        <w:rPr>
          <w:sz w:val="21"/>
        </w:rPr>
      </w:pPr>
      <w:r>
        <w:rPr>
          <w:sz w:val="21"/>
        </w:rPr>
        <w:t>4.7. В случае отказа Покупателя от переданного Товара, либо заявления требования о его замене в связи с неисполнением либо ненадлежащим исполнением Поставщиком обязательств по Договору, расходы, включая, но не ограничиваясь, связанные с принятием Товара на ответственное хранение, демонтажем/последующим монтажом Товара, его реализацией или возвратом Поставщику, заменой его на Товар надлежащего качества и комплектности, несет Поставщик, при этом Поставщик обязан возместить расходы не позднее 5 (Пяти) календарных дней с момента доставки Поставщику соответствующего требования Покупателя.</w:t>
      </w:r>
    </w:p>
    <w:p w14:paraId="60432468">
      <w:pPr>
        <w:widowControl w:val="0"/>
        <w:tabs>
          <w:tab w:val="left" w:pos="1134"/>
          <w:tab w:val="left" w:pos="1260"/>
        </w:tabs>
        <w:ind w:firstLine="567"/>
        <w:jc w:val="both"/>
        <w:rPr>
          <w:sz w:val="21"/>
        </w:rPr>
      </w:pPr>
      <w:r>
        <w:rPr>
          <w:sz w:val="21"/>
        </w:rPr>
        <w:t>4.8. Датой поставки Товара считается дата подписания УПД с обеих сторон.</w:t>
      </w:r>
    </w:p>
    <w:p w14:paraId="0AD897B4">
      <w:pPr>
        <w:widowControl w:val="0"/>
        <w:tabs>
          <w:tab w:val="left" w:pos="709"/>
          <w:tab w:val="left" w:pos="1134"/>
        </w:tabs>
        <w:ind w:firstLine="567"/>
        <w:jc w:val="both"/>
        <w:rPr>
          <w:sz w:val="21"/>
        </w:rPr>
      </w:pPr>
      <w:r>
        <w:rPr>
          <w:sz w:val="21"/>
        </w:rPr>
        <w:t>4.9. В случаях, если Покупатель принимает в соответствии с условиями Договора Товар на ответственное хранение, он обязан обеспечить сохранность этого Товара и направить уведомление Поставщику о принятии Товара на ответственное хранение.</w:t>
      </w:r>
    </w:p>
    <w:p w14:paraId="324099C6">
      <w:pPr>
        <w:widowControl w:val="0"/>
        <w:tabs>
          <w:tab w:val="left" w:pos="709"/>
          <w:tab w:val="left" w:pos="1134"/>
        </w:tabs>
        <w:ind w:firstLine="567"/>
        <w:jc w:val="both"/>
        <w:rPr>
          <w:sz w:val="21"/>
        </w:rPr>
      </w:pPr>
      <w:r>
        <w:rPr>
          <w:sz w:val="21"/>
        </w:rPr>
        <w:t>4.10. Ответственное хранение не принятого Покупателем Товара осуществляется за счет Поставщика с даты письменного уведомления Поставщика о возникших обстоятельствах принятия Товара на ответственное хранение.</w:t>
      </w:r>
    </w:p>
    <w:p w14:paraId="73582269">
      <w:pPr>
        <w:widowControl w:val="0"/>
        <w:tabs>
          <w:tab w:val="left" w:pos="709"/>
          <w:tab w:val="left" w:pos="1134"/>
        </w:tabs>
        <w:ind w:firstLine="567"/>
        <w:jc w:val="both"/>
        <w:rPr>
          <w:sz w:val="21"/>
        </w:rPr>
      </w:pPr>
      <w:r>
        <w:rPr>
          <w:sz w:val="21"/>
        </w:rPr>
        <w:t>4.11. Условия, стоимость и порядок расчетов за ответственное хранение Товара оговариваются в дополнительном соглашении к Договору.</w:t>
      </w:r>
    </w:p>
    <w:p w14:paraId="172CFC0D">
      <w:pPr>
        <w:widowControl w:val="0"/>
        <w:tabs>
          <w:tab w:val="left" w:pos="709"/>
          <w:tab w:val="left" w:pos="1134"/>
        </w:tabs>
        <w:ind w:firstLine="567"/>
        <w:jc w:val="both"/>
        <w:rPr>
          <w:sz w:val="21"/>
        </w:rPr>
      </w:pPr>
      <w:r>
        <w:rPr>
          <w:sz w:val="21"/>
        </w:rPr>
        <w:t>4.12. Поставщик обязан распорядиться Товаром, принятым Покупателем на ответственное хранение, в течение 30 (Тридцати) календарных дней с момента подписания Сторонами соответствующих актов, подтверждающих недостатки/несоответствия/дефекты Товара. Если Поставщик в указанный срок не распорядится Товаром, то Покупатель вправе возвратить его Поставщику или иному лицу по указанию Поставщика за счет Поставщика либо распорядиться Товаром в порядке, установленном законодательством РФ.</w:t>
      </w:r>
    </w:p>
    <w:p w14:paraId="33CE3366">
      <w:pPr>
        <w:widowControl w:val="0"/>
        <w:tabs>
          <w:tab w:val="left" w:pos="709"/>
          <w:tab w:val="left" w:pos="1134"/>
        </w:tabs>
        <w:ind w:firstLine="567"/>
        <w:jc w:val="both"/>
        <w:rPr>
          <w:sz w:val="21"/>
        </w:rPr>
      </w:pPr>
    </w:p>
    <w:p w14:paraId="08969E22">
      <w:pPr>
        <w:widowControl w:val="0"/>
        <w:tabs>
          <w:tab w:val="left" w:pos="284"/>
          <w:tab w:val="left" w:pos="1134"/>
        </w:tabs>
        <w:ind w:firstLine="567"/>
        <w:jc w:val="center"/>
        <w:rPr>
          <w:b/>
          <w:sz w:val="21"/>
        </w:rPr>
      </w:pPr>
      <w:r>
        <w:rPr>
          <w:b/>
          <w:sz w:val="21"/>
        </w:rPr>
        <w:t>5. НОМЕНКЛАТУРА И КАЧЕСТВО ТОВАРА</w:t>
      </w:r>
    </w:p>
    <w:p w14:paraId="153D3C2C">
      <w:pPr>
        <w:widowControl w:val="0"/>
        <w:tabs>
          <w:tab w:val="left" w:pos="1134"/>
        </w:tabs>
        <w:ind w:firstLine="567"/>
        <w:jc w:val="both"/>
        <w:rPr>
          <w:sz w:val="21"/>
        </w:rPr>
      </w:pPr>
      <w:r>
        <w:rPr>
          <w:sz w:val="21"/>
        </w:rPr>
        <w:t xml:space="preserve">5.1.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w:t>
      </w:r>
    </w:p>
    <w:p w14:paraId="693A11D7">
      <w:pPr>
        <w:widowControl w:val="0"/>
        <w:tabs>
          <w:tab w:val="left" w:pos="1134"/>
        </w:tabs>
        <w:ind w:firstLine="567"/>
        <w:jc w:val="both"/>
        <w:rPr>
          <w:sz w:val="21"/>
        </w:rPr>
      </w:pPr>
      <w:r>
        <w:rPr>
          <w:sz w:val="21"/>
        </w:rPr>
        <w:t>5.2. Номенклатура Товара должна соответствовать требованиям, указанным в Спецификации.</w:t>
      </w:r>
    </w:p>
    <w:p w14:paraId="73CB453C">
      <w:pPr>
        <w:widowControl w:val="0"/>
        <w:tabs>
          <w:tab w:val="left" w:pos="1134"/>
        </w:tabs>
        <w:ind w:firstLine="567"/>
        <w:jc w:val="both"/>
        <w:rPr>
          <w:sz w:val="21"/>
        </w:rPr>
      </w:pPr>
      <w:r>
        <w:rPr>
          <w:sz w:val="21"/>
        </w:rPr>
        <w:t xml:space="preserve">5.3. Товар должен быть поставлен в ассортименте (наименовании) и в количестве в соответствии со Спецификацией. </w:t>
      </w:r>
    </w:p>
    <w:p w14:paraId="582C10B9">
      <w:pPr>
        <w:widowControl w:val="0"/>
        <w:tabs>
          <w:tab w:val="left" w:pos="1134"/>
        </w:tabs>
        <w:ind w:firstLine="567"/>
        <w:jc w:val="both"/>
        <w:rPr>
          <w:sz w:val="21"/>
        </w:rPr>
      </w:pPr>
      <w:r>
        <w:rPr>
          <w:sz w:val="21"/>
        </w:rPr>
        <w:t xml:space="preserve">5.4. Товар должен иметь необходимые маркировки, наклейки и пломбы в соответствии с законодательством Российской Федерации. </w:t>
      </w:r>
    </w:p>
    <w:p w14:paraId="2D8A61D9">
      <w:pPr>
        <w:widowControl w:val="0"/>
        <w:tabs>
          <w:tab w:val="left" w:pos="1134"/>
        </w:tabs>
        <w:ind w:firstLine="567"/>
        <w:jc w:val="both"/>
        <w:rPr>
          <w:sz w:val="21"/>
        </w:rPr>
      </w:pPr>
      <w:r>
        <w:rPr>
          <w:sz w:val="21"/>
        </w:rPr>
        <w:t>5.5. Риск случайной гибели или случайного повреждения Товара до его приемки Покупателем лежит на Поставщике.</w:t>
      </w:r>
    </w:p>
    <w:p w14:paraId="30D8971A">
      <w:pPr>
        <w:widowControl w:val="0"/>
        <w:tabs>
          <w:tab w:val="left" w:pos="1134"/>
        </w:tabs>
        <w:ind w:firstLine="567"/>
        <w:jc w:val="both"/>
        <w:rPr>
          <w:sz w:val="21"/>
        </w:rPr>
      </w:pPr>
      <w:r>
        <w:rPr>
          <w:sz w:val="21"/>
        </w:rPr>
        <w:t>5.6. Поставщик несет расходы по оплате транспортировки, погрузочно-разгрузочных работ, налогов, пошлин и сборов до передачи Товара Покупателю.</w:t>
      </w:r>
    </w:p>
    <w:p w14:paraId="00298F0D">
      <w:pPr>
        <w:widowControl w:val="0"/>
        <w:tabs>
          <w:tab w:val="left" w:pos="1134"/>
        </w:tabs>
        <w:ind w:firstLine="567"/>
        <w:jc w:val="both"/>
        <w:rPr>
          <w:sz w:val="21"/>
        </w:rPr>
      </w:pPr>
      <w:r>
        <w:rPr>
          <w:sz w:val="21"/>
        </w:rPr>
        <w:t>5.7. Поставщик гарантирует, что Товар передается свободным от прав третьих лиц и не является предметом залога, ареста или иного обременения.</w:t>
      </w:r>
    </w:p>
    <w:p w14:paraId="55618797">
      <w:pPr>
        <w:widowControl w:val="0"/>
        <w:tabs>
          <w:tab w:val="left" w:pos="1134"/>
        </w:tabs>
        <w:ind w:firstLine="567"/>
        <w:jc w:val="both"/>
        <w:rPr>
          <w:sz w:val="21"/>
        </w:rPr>
      </w:pPr>
      <w:r>
        <w:rPr>
          <w:sz w:val="21"/>
        </w:rPr>
        <w:t>5.8. Качество Товара должно соответствовать требованиям государственных стандартов, техническим условиям на соответствующий вид Товара, техническим характеристикам, установленным производителем Товара (заводом-изготовителем), а в случае обязательной сертификации иметь сертификаты соответствия и сертификаты качества, и другие документы, необходимые для передачи Товара Покупателю.</w:t>
      </w:r>
    </w:p>
    <w:p w14:paraId="655A6443">
      <w:pPr>
        <w:widowControl w:val="0"/>
        <w:tabs>
          <w:tab w:val="left" w:pos="1134"/>
        </w:tabs>
        <w:ind w:firstLine="567"/>
        <w:jc w:val="both"/>
        <w:rPr>
          <w:sz w:val="21"/>
        </w:rPr>
      </w:pPr>
    </w:p>
    <w:p w14:paraId="7EFA56FE">
      <w:pPr>
        <w:widowControl w:val="0"/>
        <w:tabs>
          <w:tab w:val="left" w:pos="284"/>
          <w:tab w:val="left" w:pos="1134"/>
        </w:tabs>
        <w:ind w:firstLine="567"/>
        <w:jc w:val="center"/>
        <w:rPr>
          <w:b/>
          <w:sz w:val="21"/>
        </w:rPr>
      </w:pPr>
      <w:r>
        <w:rPr>
          <w:b/>
          <w:sz w:val="21"/>
        </w:rPr>
        <w:t>6. УПАКОВКА И МАРКИРОВКА</w:t>
      </w:r>
    </w:p>
    <w:p w14:paraId="64E8591D">
      <w:pPr>
        <w:widowControl w:val="0"/>
        <w:tabs>
          <w:tab w:val="left" w:pos="0"/>
          <w:tab w:val="left" w:pos="1134"/>
        </w:tabs>
        <w:ind w:firstLine="567"/>
        <w:jc w:val="both"/>
        <w:rPr>
          <w:sz w:val="21"/>
        </w:rPr>
      </w:pPr>
      <w:r>
        <w:rPr>
          <w:sz w:val="21"/>
        </w:rPr>
        <w:t xml:space="preserve">6.1. Поставщик обязуется поставить Товар в упаковке (таре), позволяющей обеспечить сохранность Товара от повреждений при его отгрузке, перевозке и хранении. </w:t>
      </w:r>
    </w:p>
    <w:p w14:paraId="40AF9DB4">
      <w:pPr>
        <w:widowControl w:val="0"/>
        <w:tabs>
          <w:tab w:val="left" w:pos="1134"/>
        </w:tabs>
        <w:ind w:firstLine="567"/>
        <w:jc w:val="both"/>
        <w:rPr>
          <w:sz w:val="21"/>
        </w:rPr>
      </w:pPr>
      <w:r>
        <w:rPr>
          <w:sz w:val="21"/>
        </w:rPr>
        <w:t xml:space="preserve">6.2. При передаче Товара в упаковке (таре), не обеспечивающей возможность его хранения, Покупатель вправе отказаться от оплаты Товара, а если Товар был оплачен, потребовать возврата уплаченной денежной суммы. </w:t>
      </w:r>
    </w:p>
    <w:p w14:paraId="2C41D902">
      <w:pPr>
        <w:widowControl w:val="0"/>
        <w:tabs>
          <w:tab w:val="left" w:pos="1134"/>
        </w:tabs>
        <w:ind w:firstLine="567"/>
        <w:jc w:val="center"/>
        <w:rPr>
          <w:sz w:val="21"/>
        </w:rPr>
      </w:pPr>
    </w:p>
    <w:p w14:paraId="752EFAAA">
      <w:pPr>
        <w:widowControl w:val="0"/>
        <w:tabs>
          <w:tab w:val="left" w:pos="1134"/>
        </w:tabs>
        <w:ind w:firstLine="567"/>
        <w:jc w:val="center"/>
        <w:rPr>
          <w:sz w:val="21"/>
        </w:rPr>
      </w:pPr>
      <w:r>
        <w:rPr>
          <w:b/>
          <w:sz w:val="21"/>
        </w:rPr>
        <w:t>7. ГАРАНТИЙНЫЙ СРОК</w:t>
      </w:r>
    </w:p>
    <w:p w14:paraId="26533CE7">
      <w:pPr>
        <w:widowControl w:val="0"/>
        <w:tabs>
          <w:tab w:val="left" w:pos="1134"/>
        </w:tabs>
        <w:ind w:firstLine="567"/>
        <w:jc w:val="both"/>
        <w:rPr>
          <w:sz w:val="21"/>
        </w:rPr>
      </w:pPr>
      <w:r>
        <w:rPr>
          <w:sz w:val="21"/>
        </w:rPr>
        <w:t xml:space="preserve">7.1. Гарантийный срок на поставленный Товар, в том числе на поставленный взамен дефектного, исчисляется с даты подписания документов о приемке товара и составляет не менее 12 (двенадцати) месяцев с момента поставки товара, но не менее чем срок гарантии, предоставляемый производителем товара. </w:t>
      </w:r>
    </w:p>
    <w:p w14:paraId="6254282E">
      <w:pPr>
        <w:widowControl w:val="0"/>
        <w:tabs>
          <w:tab w:val="left" w:pos="0"/>
          <w:tab w:val="left" w:pos="1134"/>
        </w:tabs>
        <w:ind w:firstLine="567"/>
        <w:rPr>
          <w:sz w:val="21"/>
        </w:rPr>
      </w:pPr>
    </w:p>
    <w:p w14:paraId="51966ABD">
      <w:pPr>
        <w:widowControl w:val="0"/>
        <w:tabs>
          <w:tab w:val="left" w:pos="284"/>
          <w:tab w:val="left" w:pos="1134"/>
          <w:tab w:val="left" w:pos="3735"/>
        </w:tabs>
        <w:ind w:firstLine="567"/>
        <w:jc w:val="center"/>
        <w:rPr>
          <w:b/>
          <w:sz w:val="21"/>
        </w:rPr>
      </w:pPr>
      <w:r>
        <w:rPr>
          <w:b/>
          <w:sz w:val="21"/>
        </w:rPr>
        <w:t>8. ПЕРЕХОД ПРАВА СОБСТВЕННОСТИ</w:t>
      </w:r>
    </w:p>
    <w:p w14:paraId="482BCFD3">
      <w:pPr>
        <w:widowControl w:val="0"/>
        <w:tabs>
          <w:tab w:val="left" w:pos="1134"/>
        </w:tabs>
        <w:ind w:firstLine="567"/>
        <w:jc w:val="both"/>
        <w:rPr>
          <w:sz w:val="21"/>
        </w:rPr>
      </w:pPr>
      <w:r>
        <w:rPr>
          <w:sz w:val="21"/>
        </w:rPr>
        <w:t>8.1. Риск случайной гибели Товара переходит от Поставщика к Покупателю в момент приемки Товара Покупателем по количеству тарных мест в Месте отгрузки по товарным накладным и/или товарно-транспортным накладным и/или УПД. Право собственности переходит от Поставщика к Покупателю в момент подписания положительного акта входного контроля.</w:t>
      </w:r>
    </w:p>
    <w:p w14:paraId="52776683">
      <w:pPr>
        <w:widowControl w:val="0"/>
        <w:tabs>
          <w:tab w:val="left" w:pos="1134"/>
        </w:tabs>
        <w:ind w:firstLine="567"/>
        <w:jc w:val="both"/>
        <w:rPr>
          <w:sz w:val="21"/>
        </w:rPr>
      </w:pPr>
      <w:r>
        <w:rPr>
          <w:sz w:val="21"/>
        </w:rPr>
        <w:t>С момента фактической передачи Товар не считается находящимся в залоге у Поставщика, и Покупатель вправе, без согласия Поставщика, самостоятельно распоряжаться переданным ему по Договору Товаром, независимо от осуществления оплаты.</w:t>
      </w:r>
    </w:p>
    <w:p w14:paraId="07F36AE4">
      <w:pPr>
        <w:widowControl w:val="0"/>
        <w:tabs>
          <w:tab w:val="left" w:pos="1134"/>
        </w:tabs>
        <w:ind w:firstLine="567"/>
        <w:jc w:val="both"/>
        <w:rPr>
          <w:sz w:val="21"/>
        </w:rPr>
      </w:pPr>
    </w:p>
    <w:p w14:paraId="506D164A">
      <w:pPr>
        <w:widowControl w:val="0"/>
        <w:tabs>
          <w:tab w:val="left" w:pos="284"/>
          <w:tab w:val="left" w:pos="1134"/>
        </w:tabs>
        <w:ind w:firstLine="567"/>
        <w:jc w:val="center"/>
        <w:rPr>
          <w:b/>
          <w:sz w:val="21"/>
        </w:rPr>
      </w:pPr>
      <w:r>
        <w:rPr>
          <w:b/>
          <w:sz w:val="21"/>
        </w:rPr>
        <w:t>9. ОТВЕТСТВЕННОСТЬ СТОРОН</w:t>
      </w:r>
    </w:p>
    <w:p w14:paraId="03FCFA0A">
      <w:pPr>
        <w:widowControl w:val="0"/>
        <w:tabs>
          <w:tab w:val="left" w:pos="1134"/>
        </w:tabs>
        <w:ind w:firstLine="567"/>
        <w:jc w:val="both"/>
        <w:rPr>
          <w:sz w:val="21"/>
        </w:rPr>
      </w:pPr>
      <w:r>
        <w:rPr>
          <w:sz w:val="21"/>
        </w:rPr>
        <w:t>9.1. 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w:t>
      </w:r>
    </w:p>
    <w:p w14:paraId="1B110D5A">
      <w:pPr>
        <w:widowControl w:val="0"/>
        <w:tabs>
          <w:tab w:val="left" w:pos="1134"/>
        </w:tabs>
        <w:ind w:firstLine="567"/>
        <w:jc w:val="both"/>
        <w:rPr>
          <w:sz w:val="21"/>
        </w:rPr>
      </w:pPr>
      <w:r>
        <w:rPr>
          <w:sz w:val="21"/>
        </w:rPr>
        <w:t xml:space="preserve">9.2. В случае невыполнения или ненадлежащего выполнения своих обязательств по оплате по настоящему Договору Покупатель уплачивает Поставщику пени в размере 0,01% от стоимости поставленного Товара за каждый день просрочки оплаты, следующего за днем пропущенного срока, </w:t>
      </w:r>
      <w:r>
        <w:rPr>
          <w:sz w:val="21"/>
          <w:szCs w:val="21"/>
        </w:rPr>
        <w:t>но не более 2% от суммы просроченного платежа за все время просрочки на основании письменного требования Поставщика</w:t>
      </w:r>
      <w:r>
        <w:rPr>
          <w:sz w:val="21"/>
        </w:rPr>
        <w:t>.</w:t>
      </w:r>
    </w:p>
    <w:p w14:paraId="783A069D">
      <w:pPr>
        <w:widowControl w:val="0"/>
        <w:tabs>
          <w:tab w:val="left" w:pos="1134"/>
        </w:tabs>
        <w:ind w:firstLine="567"/>
        <w:jc w:val="both"/>
        <w:rPr>
          <w:sz w:val="21"/>
        </w:rPr>
      </w:pPr>
      <w:r>
        <w:rPr>
          <w:sz w:val="21"/>
        </w:rPr>
        <w:t>9.3. В случае обнаружения недостатков при приемке Товара Поставщик обязан в срок, согласованный с Покупателем произвести замену Товара Товаром надлежащего качества за свой счет и своими силами, в противном случае Поставщик уплачивает пени в размере 0,01% от стоимости поставленного Товара ненадлежащего качества за каждый день просрочки исполнения обязательства</w:t>
      </w:r>
      <w:r>
        <w:rPr>
          <w:sz w:val="21"/>
          <w:szCs w:val="21"/>
        </w:rPr>
        <w:t>.</w:t>
      </w:r>
    </w:p>
    <w:p w14:paraId="651CBBD4">
      <w:pPr>
        <w:widowControl w:val="0"/>
        <w:tabs>
          <w:tab w:val="left" w:pos="1134"/>
        </w:tabs>
        <w:ind w:firstLine="567"/>
        <w:jc w:val="both"/>
        <w:rPr>
          <w:sz w:val="21"/>
        </w:rPr>
      </w:pPr>
      <w:r>
        <w:rPr>
          <w:sz w:val="21"/>
        </w:rPr>
        <w:t>9.4. В случае нарушения срока поставки Поставщик уплачивает пени в размере 0,01% от стоимости не поставленного Товара за каждый день просрочки поставки.</w:t>
      </w:r>
    </w:p>
    <w:p w14:paraId="1A5EAB87">
      <w:pPr>
        <w:widowControl w:val="0"/>
        <w:tabs>
          <w:tab w:val="left" w:pos="1134"/>
        </w:tabs>
        <w:ind w:firstLine="567"/>
        <w:jc w:val="both"/>
        <w:rPr>
          <w:sz w:val="21"/>
        </w:rPr>
      </w:pPr>
      <w:r>
        <w:rPr>
          <w:sz w:val="21"/>
        </w:rPr>
        <w:t>9.5. В случае, когда относящиеся к Товару документы и/или сертификат на Товар, подлежащий обязательной сертификации, Поставщик не передал Покупателю в указанные в Договоре сроки, Поставщик возмещает понесенные Покупателем расходы и другие убытки, образовавшиеся вследствие лишения возможности Покупателя использовать Товар из-за отсутствия этих документов, а также уплачивает пени в размере 0,01% от суммы счета за каждый день просрочки передачи документов.</w:t>
      </w:r>
    </w:p>
    <w:p w14:paraId="3CE72905">
      <w:pPr>
        <w:widowControl w:val="0"/>
        <w:tabs>
          <w:tab w:val="left" w:pos="1134"/>
        </w:tabs>
        <w:ind w:firstLine="567"/>
        <w:jc w:val="both"/>
        <w:rPr>
          <w:sz w:val="21"/>
        </w:rPr>
      </w:pPr>
      <w:r>
        <w:rPr>
          <w:sz w:val="21"/>
        </w:rPr>
        <w:t>9.6. Уплата пени не освобождает Стороны от исполнения ими в полном объеме своих обязательств по настоящему Договору.</w:t>
      </w:r>
    </w:p>
    <w:p w14:paraId="0C5D708E">
      <w:pPr>
        <w:widowControl w:val="0"/>
        <w:tabs>
          <w:tab w:val="left" w:pos="1134"/>
        </w:tabs>
        <w:ind w:firstLine="567"/>
        <w:jc w:val="both"/>
        <w:rPr>
          <w:sz w:val="21"/>
        </w:rPr>
      </w:pPr>
      <w:r>
        <w:rPr>
          <w:sz w:val="21"/>
        </w:rPr>
        <w:t>9.7. </w:t>
      </w:r>
      <w:r>
        <w:rPr>
          <w:color w:val="auto"/>
          <w:sz w:val="21"/>
        </w:rPr>
        <w:t>Поставщик несет ответственность за ненадлежащее оформление счетов-фактур/УПД. Поставщик обязан по требованию Покупателя, в случае выявления ненадлежащего оформления счетов-фактур/УПД, в течение 5 (Пяти) рабочих дней предоставить ему надлежаще оформленные счета-фактуры/УПД в соответствии с требованиями ст.169 НК РФ, в ином случае Поставщик несет ответственность в размере не принятых к вычету сумм налога на добавленную стоимость.</w:t>
      </w:r>
    </w:p>
    <w:p w14:paraId="0266292D">
      <w:pPr>
        <w:widowControl w:val="0"/>
        <w:tabs>
          <w:tab w:val="left" w:pos="1134"/>
        </w:tabs>
        <w:ind w:firstLine="567"/>
        <w:jc w:val="both"/>
        <w:rPr>
          <w:sz w:val="21"/>
        </w:rPr>
      </w:pPr>
      <w:r>
        <w:rPr>
          <w:sz w:val="21"/>
        </w:rPr>
        <w:t>9.8. Во всех остальных случаях неисполнения или ненадлежащего исполнения Сторонами своих обязательств по настоящему Договору, виновная Сторона несет ответственность в соответствии с законодательством Российской Федерации.</w:t>
      </w:r>
    </w:p>
    <w:p w14:paraId="0A4694C5">
      <w:pPr>
        <w:widowControl w:val="0"/>
        <w:tabs>
          <w:tab w:val="left" w:pos="1134"/>
        </w:tabs>
        <w:ind w:firstLine="567"/>
        <w:jc w:val="both"/>
        <w:rPr>
          <w:sz w:val="21"/>
        </w:rPr>
      </w:pPr>
      <w:r>
        <w:rPr>
          <w:sz w:val="21"/>
        </w:rPr>
        <w:t>9.9. Уплата Покупателем неустоек в соответствии с Договором не освобождает его от обязанности возмещения документально подтвержденных убытков, причиненных Поставщику, в части, не покрытой неустойками. Упущенная выгода Поставщика возмещению не подлежит.</w:t>
      </w:r>
    </w:p>
    <w:p w14:paraId="0C9B7B90">
      <w:pPr>
        <w:widowControl w:val="0"/>
        <w:tabs>
          <w:tab w:val="left" w:pos="1134"/>
        </w:tabs>
        <w:ind w:firstLine="567"/>
        <w:jc w:val="both"/>
        <w:rPr>
          <w:sz w:val="21"/>
        </w:rPr>
      </w:pPr>
      <w:r>
        <w:rPr>
          <w:sz w:val="21"/>
        </w:rPr>
        <w:t>9.10.</w:t>
      </w:r>
      <w:r>
        <w:rPr>
          <w:sz w:val="21"/>
        </w:rPr>
        <w:tab/>
      </w:r>
      <w:r>
        <w:rPr>
          <w:sz w:val="21"/>
        </w:rPr>
        <w:t>Поставщик обязуется возместить имущественные потери Покупателя, возникшие в любое время после заключения договора, в случае, если к Покупателю на основании решения налогового органа (далее – Решение) будут предъявлены требования имущественного характера по причине неподтверждения налоговым органом права Покупателя на вычет сумм НДС, перечисленных Покупателем в пользу Поставщика, и(или) отказа налогового органа в признании права Покупателя на включение в состав расходов в целях исчисления налога на прибыль организаций стоимости поставленных товаров по договору.</w:t>
      </w:r>
    </w:p>
    <w:p w14:paraId="43DFF823">
      <w:pPr>
        <w:widowControl w:val="0"/>
        <w:tabs>
          <w:tab w:val="left" w:pos="1134"/>
        </w:tabs>
        <w:ind w:firstLine="567"/>
        <w:jc w:val="both"/>
        <w:rPr>
          <w:sz w:val="21"/>
        </w:rPr>
      </w:pPr>
      <w:r>
        <w:rPr>
          <w:sz w:val="21"/>
        </w:rPr>
        <w:t>9.11.</w:t>
      </w:r>
      <w:r>
        <w:rPr>
          <w:sz w:val="21"/>
        </w:rPr>
        <w:tab/>
      </w:r>
      <w:r>
        <w:rPr>
          <w:sz w:val="21"/>
        </w:rPr>
        <w:t>Размер возмещения равен размеру требований имущественного характера (включая штрафные санкции), предъявленных налоговым органом к Покупателю и увеличенных на сумму, равную сумме налога на прибыль, которую Покупатель должен будет уплатить в связи с получением возмещения имущественных потерь. Размер возмещения определяется путем умножения суммы предъявленных налоговым органом требований имущественного характера (включая штрафные санкции) на 1,25.</w:t>
      </w:r>
    </w:p>
    <w:p w14:paraId="023F32BB">
      <w:pPr>
        <w:widowControl w:val="0"/>
        <w:tabs>
          <w:tab w:val="left" w:pos="1134"/>
        </w:tabs>
        <w:ind w:firstLine="567"/>
        <w:jc w:val="both"/>
        <w:rPr>
          <w:sz w:val="21"/>
        </w:rPr>
      </w:pPr>
      <w:r>
        <w:rPr>
          <w:sz w:val="21"/>
        </w:rPr>
        <w:t>9.12. Покупатель вправе обратиться за возмещением имущественных потерь к Поставщику после вступления в силу Решения. При этом оспаривание Покупателем Решения не является обязательным условием для обращения к Поставщику за возмещением имущественных потерь.</w:t>
      </w:r>
    </w:p>
    <w:p w14:paraId="4D89E582">
      <w:pPr>
        <w:widowControl w:val="0"/>
        <w:tabs>
          <w:tab w:val="left" w:pos="1134"/>
        </w:tabs>
        <w:ind w:firstLine="567"/>
        <w:jc w:val="both"/>
        <w:rPr>
          <w:sz w:val="21"/>
        </w:rPr>
      </w:pPr>
      <w:r>
        <w:rPr>
          <w:sz w:val="21"/>
        </w:rPr>
        <w:t xml:space="preserve">9.12.1. </w:t>
      </w:r>
      <w:r>
        <w:rPr>
          <w:sz w:val="21"/>
        </w:rPr>
        <w:tab/>
      </w:r>
      <w:r>
        <w:rPr>
          <w:sz w:val="21"/>
        </w:rPr>
        <w:t>В обоснование требования возместить имущественные потери Покупатель предоставляет Поставщику следующие документы:</w:t>
      </w:r>
    </w:p>
    <w:p w14:paraId="3E368133">
      <w:pPr>
        <w:widowControl w:val="0"/>
        <w:tabs>
          <w:tab w:val="left" w:pos="1134"/>
        </w:tabs>
        <w:ind w:firstLine="567"/>
        <w:jc w:val="both"/>
        <w:rPr>
          <w:sz w:val="21"/>
        </w:rPr>
      </w:pPr>
      <w:r>
        <w:rPr>
          <w:sz w:val="21"/>
        </w:rPr>
        <w:t>–</w:t>
      </w:r>
      <w:r>
        <w:rPr>
          <w:sz w:val="21"/>
        </w:rPr>
        <w:tab/>
      </w:r>
      <w:r>
        <w:rPr>
          <w:sz w:val="21"/>
        </w:rPr>
        <w:t>заверенную Покупателем выписку из вступившего в законную силу Решения, в силу которого возникают имущественные потери;</w:t>
      </w:r>
    </w:p>
    <w:p w14:paraId="4C074B42">
      <w:pPr>
        <w:widowControl w:val="0"/>
        <w:tabs>
          <w:tab w:val="left" w:pos="1134"/>
        </w:tabs>
        <w:ind w:firstLine="567"/>
        <w:jc w:val="both"/>
        <w:rPr>
          <w:sz w:val="21"/>
        </w:rPr>
      </w:pPr>
      <w:r>
        <w:rPr>
          <w:sz w:val="21"/>
        </w:rPr>
        <w:t>–</w:t>
      </w:r>
      <w:r>
        <w:rPr>
          <w:sz w:val="21"/>
        </w:rPr>
        <w:tab/>
      </w:r>
      <w:r>
        <w:rPr>
          <w:sz w:val="21"/>
        </w:rPr>
        <w:t>копию требования об уплате налога, выставленного на основании Решения (далее – Требование).</w:t>
      </w:r>
    </w:p>
    <w:p w14:paraId="4EDEF2A0">
      <w:pPr>
        <w:widowControl w:val="0"/>
        <w:tabs>
          <w:tab w:val="left" w:pos="1134"/>
        </w:tabs>
        <w:ind w:firstLine="567"/>
        <w:jc w:val="both"/>
        <w:rPr>
          <w:sz w:val="21"/>
        </w:rPr>
      </w:pPr>
      <w:r>
        <w:rPr>
          <w:sz w:val="21"/>
        </w:rPr>
        <w:t>9.13.</w:t>
      </w:r>
      <w:r>
        <w:rPr>
          <w:sz w:val="21"/>
        </w:rPr>
        <w:tab/>
      </w:r>
      <w:r>
        <w:rPr>
          <w:sz w:val="21"/>
        </w:rPr>
        <w:t>Поставщик обязан в течение 5 (пяти) рабочих дней с момента получения соответствующей претензии от Покупателя с приложением обосновывающих ее документов, возместить Покупателю имущественные потери путем перечисления денежных средств на его расчетный счет.</w:t>
      </w:r>
    </w:p>
    <w:p w14:paraId="5A0EC12F">
      <w:pPr>
        <w:widowControl w:val="0"/>
        <w:tabs>
          <w:tab w:val="left" w:pos="1134"/>
        </w:tabs>
        <w:ind w:firstLine="567"/>
        <w:jc w:val="both"/>
        <w:rPr>
          <w:sz w:val="21"/>
        </w:rPr>
      </w:pPr>
      <w:r>
        <w:rPr>
          <w:sz w:val="21"/>
        </w:rPr>
        <w:t>9.14.</w:t>
      </w:r>
      <w:r>
        <w:rPr>
          <w:sz w:val="21"/>
        </w:rPr>
        <w:tab/>
      </w:r>
      <w:r>
        <w:rPr>
          <w:sz w:val="21"/>
        </w:rPr>
        <w:t>Если Решение или Требование будет признано недействительным вышестоящим налоговым органом или судом, Покупатель обязан возвратить Поставщику возмещенные имущественные потери в размере полученной суммы, начисление или взыскание которой было признано вышестоящим налоговым органом или судом неправомерным.</w:t>
      </w:r>
    </w:p>
    <w:p w14:paraId="031618D8">
      <w:pPr>
        <w:widowControl w:val="0"/>
        <w:tabs>
          <w:tab w:val="left" w:pos="1134"/>
        </w:tabs>
        <w:ind w:firstLine="567"/>
        <w:jc w:val="both"/>
        <w:rPr>
          <w:sz w:val="21"/>
        </w:rPr>
      </w:pPr>
      <w:r>
        <w:rPr>
          <w:sz w:val="21"/>
        </w:rPr>
        <w:t>9.15.</w:t>
      </w:r>
      <w:r>
        <w:rPr>
          <w:sz w:val="21"/>
        </w:rPr>
        <w:tab/>
      </w:r>
      <w:r>
        <w:rPr>
          <w:sz w:val="21"/>
        </w:rPr>
        <w:t>При этом возвращаемая Поставщику сумма имущественных потерь уменьшается на сумму расходов, которые понес Покупатель в целях признания Решения и (или) Требования недействительным (расходы на досудебное обжалование и судебные расходы пропорционально сумме имущественных потерь, начисление или взыскание которых налоговым органом был признано неправомерным вышестоящим налоговым органом или судом).</w:t>
      </w:r>
    </w:p>
    <w:p w14:paraId="01C3D81C">
      <w:pPr>
        <w:widowControl w:val="0"/>
        <w:tabs>
          <w:tab w:val="left" w:pos="1134"/>
        </w:tabs>
        <w:ind w:firstLine="567"/>
        <w:jc w:val="both"/>
        <w:rPr>
          <w:sz w:val="21"/>
        </w:rPr>
      </w:pPr>
      <w:r>
        <w:rPr>
          <w:sz w:val="21"/>
        </w:rPr>
        <w:t>9.16.</w:t>
      </w:r>
      <w:r>
        <w:rPr>
          <w:sz w:val="21"/>
        </w:rPr>
        <w:tab/>
      </w:r>
      <w:r>
        <w:rPr>
          <w:sz w:val="21"/>
        </w:rPr>
        <w:t>Покупатель обязан возвратить Поставщику сумму ранее возмещенных Поставщиком имущественных потерь в течение 10 рабочих дней со дня:</w:t>
      </w:r>
    </w:p>
    <w:p w14:paraId="51466225">
      <w:pPr>
        <w:widowControl w:val="0"/>
        <w:tabs>
          <w:tab w:val="left" w:pos="1134"/>
        </w:tabs>
        <w:ind w:firstLine="567"/>
        <w:jc w:val="both"/>
        <w:rPr>
          <w:sz w:val="21"/>
        </w:rPr>
      </w:pPr>
      <w:r>
        <w:rPr>
          <w:sz w:val="21"/>
        </w:rPr>
        <w:t>–</w:t>
      </w:r>
      <w:r>
        <w:rPr>
          <w:sz w:val="21"/>
        </w:rPr>
        <w:tab/>
      </w:r>
      <w:r>
        <w:rPr>
          <w:sz w:val="21"/>
        </w:rPr>
        <w:t>истечения срока на обжалование судебных актов либо вступления в законную силу последнего судебного акта по делу, по результатам рассмотрения которого Решение или Требование было признано недействительным, если Решение и Требование до этого момента не было исполнено;</w:t>
      </w:r>
    </w:p>
    <w:p w14:paraId="14300A38">
      <w:pPr>
        <w:widowControl w:val="0"/>
        <w:tabs>
          <w:tab w:val="left" w:pos="1134"/>
        </w:tabs>
        <w:ind w:firstLine="567"/>
        <w:jc w:val="both"/>
        <w:rPr>
          <w:sz w:val="21"/>
        </w:rPr>
      </w:pPr>
      <w:r>
        <w:rPr>
          <w:sz w:val="21"/>
        </w:rPr>
        <w:t>–</w:t>
      </w:r>
      <w:r>
        <w:rPr>
          <w:sz w:val="21"/>
        </w:rPr>
        <w:tab/>
      </w:r>
      <w:r>
        <w:rPr>
          <w:sz w:val="21"/>
        </w:rPr>
        <w:t>фактического возврата денежных средств (проведения зачета) Покупателю налоговым органом во исполнение решения суда, которым Решение было признано недействительным, если Решение и Требование до этого момента было исполнено.</w:t>
      </w:r>
    </w:p>
    <w:p w14:paraId="2446619D">
      <w:pPr>
        <w:widowControl w:val="0"/>
        <w:tabs>
          <w:tab w:val="left" w:pos="1134"/>
        </w:tabs>
        <w:ind w:left="360"/>
        <w:jc w:val="both"/>
        <w:rPr>
          <w:sz w:val="21"/>
        </w:rPr>
      </w:pPr>
    </w:p>
    <w:p w14:paraId="3B1B9BB4">
      <w:pPr>
        <w:widowControl w:val="0"/>
        <w:tabs>
          <w:tab w:val="left" w:pos="284"/>
          <w:tab w:val="left" w:pos="1134"/>
        </w:tabs>
        <w:ind w:firstLine="567"/>
        <w:jc w:val="center"/>
        <w:rPr>
          <w:b/>
          <w:sz w:val="21"/>
        </w:rPr>
      </w:pPr>
      <w:r>
        <w:rPr>
          <w:b/>
          <w:sz w:val="21"/>
        </w:rPr>
        <w:t>10. ОБСТОЯТЕЛЬСТВА НЕПРЕОДОЛИМОЙ СИЛЫ</w:t>
      </w:r>
    </w:p>
    <w:p w14:paraId="2D3126CD">
      <w:pPr>
        <w:widowControl w:val="0"/>
        <w:tabs>
          <w:tab w:val="left" w:pos="900"/>
          <w:tab w:val="left" w:pos="1134"/>
        </w:tabs>
        <w:ind w:firstLine="567"/>
        <w:jc w:val="both"/>
        <w:rPr>
          <w:sz w:val="21"/>
        </w:rPr>
      </w:pPr>
      <w:r>
        <w:rPr>
          <w:sz w:val="21"/>
        </w:rPr>
        <w:t>10.1.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(форс-мажор), то есть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пожара, землетрясения, наводнения и других природных стихийных бедствий, а также изменения законодательства.</w:t>
      </w:r>
    </w:p>
    <w:p w14:paraId="51AA5B37">
      <w:pPr>
        <w:widowControl w:val="0"/>
        <w:tabs>
          <w:tab w:val="left" w:pos="1134"/>
          <w:tab w:val="left" w:pos="8460"/>
        </w:tabs>
        <w:ind w:firstLine="567"/>
        <w:jc w:val="both"/>
        <w:rPr>
          <w:sz w:val="21"/>
        </w:rPr>
      </w:pPr>
      <w:r>
        <w:rPr>
          <w:sz w:val="21"/>
        </w:rPr>
        <w:t>10.2. Сторона, подвергшаяся действию обстоятельств непреодолимой силы, обязана в течение 72 (Семидесяти двух) часов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быть.</w:t>
      </w:r>
    </w:p>
    <w:p w14:paraId="0F7A3788">
      <w:pPr>
        <w:widowControl w:val="0"/>
        <w:tabs>
          <w:tab w:val="left" w:pos="1134"/>
          <w:tab w:val="left" w:pos="8460"/>
        </w:tabs>
        <w:ind w:firstLine="567"/>
        <w:jc w:val="both"/>
        <w:rPr>
          <w:sz w:val="21"/>
        </w:rPr>
      </w:pPr>
      <w:r>
        <w:rPr>
          <w:sz w:val="21"/>
        </w:rPr>
        <w:t>10.3. Если такого уведомления не будет сделано в срок, указанный в пункте 10.2 настоящего Договора, Сторона, подвергшаяся действию обстоятельств непреодолимой силы, лишается права ссылаться на них в свое оправдание, разве что само то обстоятельство не давало возможности послать уведомление.</w:t>
      </w:r>
    </w:p>
    <w:p w14:paraId="5EB11B1F">
      <w:pPr>
        <w:widowControl w:val="0"/>
        <w:tabs>
          <w:tab w:val="left" w:pos="1134"/>
          <w:tab w:val="left" w:pos="8460"/>
        </w:tabs>
        <w:ind w:firstLine="567"/>
        <w:jc w:val="both"/>
        <w:rPr>
          <w:sz w:val="21"/>
        </w:rPr>
      </w:pPr>
      <w:r>
        <w:rPr>
          <w:sz w:val="21"/>
        </w:rPr>
        <w:t>10.4. Возникновение обстоятельств непреодолимой силы, предусмотренных пунктом 10.1 настоящего Договора, при условии соблюдения требований пункта 10.2 настоящего Договора, продлевает срок исполнения обязательств по нему на период, который в целом соответствует сроку действия наступившего обстоятельства.</w:t>
      </w:r>
    </w:p>
    <w:p w14:paraId="4B6A4F60">
      <w:pPr>
        <w:widowControl w:val="0"/>
        <w:tabs>
          <w:tab w:val="left" w:pos="1134"/>
          <w:tab w:val="left" w:pos="8460"/>
        </w:tabs>
        <w:ind w:firstLine="567"/>
        <w:jc w:val="both"/>
        <w:rPr>
          <w:sz w:val="21"/>
        </w:rPr>
      </w:pPr>
      <w:r>
        <w:rPr>
          <w:sz w:val="21"/>
        </w:rPr>
        <w:t>10.5. Если обстоятельства непреодолимой силы будут продолжаться свыше 2 (Двух) месяцев последовательно или Стороны сочтут, что наступившие обстоятельства форс-мажора создали невозможность дальнейшего исполнения условий настоящего Договора, по взаимному согласию Стороны вправе досрочно расторгнуть свои отношения по настоящему Договору при условии проведения полного взаиморасчета за фактически поставленный Товар и в этом случае ни одна из Сторон не будет иметь права требовать от другой Стороны возмещения возможных убытков.</w:t>
      </w:r>
    </w:p>
    <w:p w14:paraId="4873EAEB">
      <w:pPr>
        <w:widowControl w:val="0"/>
        <w:tabs>
          <w:tab w:val="left" w:pos="1134"/>
          <w:tab w:val="left" w:pos="8460"/>
        </w:tabs>
        <w:ind w:firstLine="567"/>
        <w:jc w:val="both"/>
        <w:rPr>
          <w:sz w:val="21"/>
        </w:rPr>
      </w:pPr>
    </w:p>
    <w:p w14:paraId="2208196E">
      <w:pPr>
        <w:widowControl w:val="0"/>
        <w:tabs>
          <w:tab w:val="left" w:pos="426"/>
          <w:tab w:val="left" w:pos="1134"/>
        </w:tabs>
        <w:ind w:firstLine="567"/>
        <w:jc w:val="center"/>
        <w:rPr>
          <w:b/>
          <w:sz w:val="21"/>
        </w:rPr>
      </w:pPr>
      <w:r>
        <w:rPr>
          <w:b/>
          <w:sz w:val="21"/>
        </w:rPr>
        <w:t>11. РАЗРЕШЕНИЕ СПОРОВ</w:t>
      </w:r>
    </w:p>
    <w:p w14:paraId="5B37B5C2">
      <w:pPr>
        <w:widowControl w:val="0"/>
        <w:tabs>
          <w:tab w:val="left" w:pos="1134"/>
        </w:tabs>
        <w:ind w:firstLine="567"/>
        <w:jc w:val="both"/>
        <w:rPr>
          <w:sz w:val="21"/>
        </w:rPr>
      </w:pPr>
      <w:r>
        <w:rPr>
          <w:sz w:val="21"/>
        </w:rPr>
        <w:t>11.1. Все споры, возникающие при исполнении настоящего Договора, решаются Сторонами путем переговоров.</w:t>
      </w:r>
    </w:p>
    <w:p w14:paraId="0344C512">
      <w:pPr>
        <w:widowControl w:val="0"/>
        <w:tabs>
          <w:tab w:val="left" w:pos="1134"/>
        </w:tabs>
        <w:ind w:firstLine="567"/>
        <w:jc w:val="both"/>
        <w:rPr>
          <w:sz w:val="21"/>
        </w:rPr>
      </w:pPr>
      <w:r>
        <w:rPr>
          <w:sz w:val="21"/>
        </w:rPr>
        <w:t xml:space="preserve">11.2. Если Стороны не придут к соглашению путем переговоров, все споры рассматриваются в претензионном порядке. </w:t>
      </w:r>
    </w:p>
    <w:p w14:paraId="0049051B">
      <w:pPr>
        <w:widowControl w:val="0"/>
        <w:tabs>
          <w:tab w:val="left" w:pos="1134"/>
        </w:tabs>
        <w:ind w:firstLine="567"/>
        <w:jc w:val="both"/>
        <w:rPr>
          <w:sz w:val="21"/>
        </w:rPr>
      </w:pPr>
      <w:r>
        <w:rPr>
          <w:sz w:val="21"/>
        </w:rPr>
        <w:t>11.2.1. Претензии Сторон, связанные с заключением, исполнением, нарушением или прекращением Договора, должны быть предъявлены в письменной форме, иметь наименовании «Претензия» и быть подписаны уполномоченным представителем Стороны. Претензия должны быть направлена другой Стороне заказным письмом или нарочным (курьером).</w:t>
      </w:r>
    </w:p>
    <w:p w14:paraId="0C558DD1">
      <w:pPr>
        <w:widowControl w:val="0"/>
        <w:tabs>
          <w:tab w:val="left" w:pos="1134"/>
        </w:tabs>
        <w:ind w:firstLine="567"/>
        <w:jc w:val="both"/>
        <w:rPr>
          <w:sz w:val="21"/>
        </w:rPr>
      </w:pPr>
      <w:r>
        <w:rPr>
          <w:sz w:val="21"/>
        </w:rPr>
        <w:t>11.2.2. Претензия должна быть рассмотрена и ответ на нее дан в срок 10 (десять) календарных дней с даты ее получения. Датой получения считается дата на штампе почтового отделения адресата или дата отметки о получении при курьерской доставке.</w:t>
      </w:r>
    </w:p>
    <w:p w14:paraId="492E4D75">
      <w:pPr>
        <w:widowControl w:val="0"/>
        <w:tabs>
          <w:tab w:val="left" w:pos="1134"/>
        </w:tabs>
        <w:ind w:firstLine="567"/>
        <w:jc w:val="both"/>
        <w:rPr>
          <w:sz w:val="21"/>
        </w:rPr>
      </w:pPr>
      <w:r>
        <w:rPr>
          <w:sz w:val="21"/>
        </w:rPr>
        <w:t xml:space="preserve">11.2.3. Если претензия принята, Сторона, направившая претензию, выставляет другой Стороне счет для оплаты неустойки и/или прямого ущерба. Сторона, получившая счет, должна оплатить его в течение </w:t>
      </w:r>
      <w:r>
        <w:rPr>
          <w:sz w:val="21"/>
        </w:rPr>
        <w:br w:type="textWrapping"/>
      </w:r>
      <w:r>
        <w:rPr>
          <w:sz w:val="21"/>
        </w:rPr>
        <w:t>30 (тридцати) календарных дней с даты получения.</w:t>
      </w:r>
    </w:p>
    <w:p w14:paraId="105E567C">
      <w:pPr>
        <w:pStyle w:val="249"/>
        <w:tabs>
          <w:tab w:val="left" w:pos="993"/>
        </w:tabs>
        <w:spacing w:after="0" w:line="240" w:lineRule="auto"/>
        <w:ind w:left="0" w:right="140" w:firstLine="493"/>
        <w:contextualSpacing/>
        <w:jc w:val="both"/>
        <w:rPr>
          <w:rFonts w:ascii="Times New Roman" w:hAnsi="Times New Roman"/>
          <w:sz w:val="21"/>
        </w:rPr>
      </w:pPr>
      <w:r>
        <w:rPr>
          <w:rFonts w:ascii="Times New Roman" w:hAnsi="Times New Roman"/>
          <w:sz w:val="21"/>
        </w:rPr>
        <w:t xml:space="preserve">11.3. Любой спор, разногласие или претензия имущественного характера,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неразрешенные в претензионном порядке подлежат рассмотрению в Арбитражном суде </w:t>
      </w:r>
      <w:r>
        <w:rPr>
          <w:rFonts w:ascii="Times New Roman" w:hAnsi="Times New Roman"/>
          <w:sz w:val="21"/>
          <w:highlight w:val="yellow"/>
        </w:rPr>
        <w:t>по месту нахождения истца</w:t>
      </w:r>
      <w:r>
        <w:rPr>
          <w:rFonts w:ascii="Times New Roman" w:hAnsi="Times New Roman"/>
          <w:sz w:val="21"/>
        </w:rPr>
        <w:t>.</w:t>
      </w:r>
    </w:p>
    <w:p w14:paraId="79011556">
      <w:pPr>
        <w:widowControl w:val="0"/>
        <w:tabs>
          <w:tab w:val="left" w:pos="1134"/>
        </w:tabs>
        <w:ind w:firstLine="567"/>
        <w:jc w:val="both"/>
        <w:rPr>
          <w:sz w:val="21"/>
        </w:rPr>
      </w:pPr>
      <w:r>
        <w:rPr>
          <w:sz w:val="21"/>
        </w:rPr>
        <w:t>11.4. Применимым правом, регулирующим Договор, является материальное право Российской Федерации за исключением коллизионных норм.</w:t>
      </w:r>
    </w:p>
    <w:p w14:paraId="399C7B74">
      <w:pPr>
        <w:widowControl w:val="0"/>
        <w:tabs>
          <w:tab w:val="left" w:pos="0"/>
          <w:tab w:val="left" w:pos="1134"/>
        </w:tabs>
        <w:ind w:firstLine="567"/>
        <w:jc w:val="both"/>
        <w:rPr>
          <w:sz w:val="21"/>
        </w:rPr>
      </w:pPr>
    </w:p>
    <w:p w14:paraId="798FF15F">
      <w:pPr>
        <w:widowControl w:val="0"/>
        <w:tabs>
          <w:tab w:val="left" w:pos="426"/>
          <w:tab w:val="left" w:pos="1134"/>
        </w:tabs>
        <w:jc w:val="center"/>
        <w:rPr>
          <w:b/>
          <w:sz w:val="21"/>
        </w:rPr>
      </w:pPr>
      <w:r>
        <w:rPr>
          <w:b/>
          <w:sz w:val="21"/>
        </w:rPr>
        <w:t>12. ПОРЯДОК ВНЕСЕНИЯ ИЗМЕНЕНИЙ, ДОПОЛНЕНИЙ В ДОГОВОР И ЕГО РАСТОРЖЕНИЯ</w:t>
      </w:r>
    </w:p>
    <w:p w14:paraId="222BB363">
      <w:pPr>
        <w:widowControl w:val="0"/>
        <w:tabs>
          <w:tab w:val="left" w:pos="1134"/>
        </w:tabs>
        <w:ind w:firstLine="567"/>
        <w:jc w:val="both"/>
        <w:rPr>
          <w:sz w:val="21"/>
        </w:rPr>
      </w:pPr>
      <w:r>
        <w:rPr>
          <w:sz w:val="21"/>
        </w:rPr>
        <w:t>12.1. В настоящий Договор Сторонами могут быть внесены изменения и дополнения, которые оформляются дополнительными соглашениями к настоящему Договору.</w:t>
      </w:r>
    </w:p>
    <w:p w14:paraId="018DA9C5">
      <w:pPr>
        <w:widowControl w:val="0"/>
        <w:tabs>
          <w:tab w:val="left" w:pos="1134"/>
        </w:tabs>
        <w:ind w:firstLine="567"/>
        <w:jc w:val="both"/>
        <w:rPr>
          <w:sz w:val="21"/>
        </w:rPr>
      </w:pPr>
      <w:r>
        <w:rPr>
          <w:sz w:val="21"/>
        </w:rPr>
        <w:t>12.2. Настоящий Договор может быть досрочно расторгнут по основаниям, предусмотренным настоящим Договором и законодательством Российской Федерации.</w:t>
      </w:r>
    </w:p>
    <w:p w14:paraId="32B6A503">
      <w:pPr>
        <w:widowControl w:val="0"/>
        <w:tabs>
          <w:tab w:val="left" w:pos="1134"/>
        </w:tabs>
        <w:ind w:firstLine="567"/>
        <w:jc w:val="both"/>
        <w:rPr>
          <w:sz w:val="21"/>
        </w:rPr>
      </w:pPr>
      <w:r>
        <w:rPr>
          <w:sz w:val="21"/>
        </w:rPr>
        <w:t>12.3. Покупатель имеет право в одностороннем порядке отказаться от исполнения настоящего Договора, направив Поставщику письменное уведомление об одностороннем отказе от исполнения Договора не позднее, чем за 30 (Тридцать) календарных дней до предполагаемой даты расторжения Договора. Настоящий Договор считается расторгнутым с даты, указанной в уведомлении об одностороннем отказе от исполнения Договора.</w:t>
      </w:r>
    </w:p>
    <w:p w14:paraId="5A541D6F">
      <w:pPr>
        <w:widowControl w:val="0"/>
        <w:tabs>
          <w:tab w:val="left" w:pos="1134"/>
        </w:tabs>
        <w:ind w:firstLine="567"/>
        <w:jc w:val="both"/>
        <w:rPr>
          <w:sz w:val="21"/>
        </w:rPr>
      </w:pPr>
      <w:r>
        <w:rPr>
          <w:sz w:val="21"/>
        </w:rPr>
        <w:t>12.4. Односторонний внесудебный отказ Покупателя от исполнения нарушенного Договора не освобождает Поставщика от обязанности возместить убытки, связанные с нарушением обязательств по Договору.</w:t>
      </w:r>
    </w:p>
    <w:p w14:paraId="4247AD4F">
      <w:pPr>
        <w:widowControl w:val="0"/>
        <w:tabs>
          <w:tab w:val="left" w:pos="1134"/>
        </w:tabs>
        <w:ind w:firstLine="567"/>
        <w:jc w:val="both"/>
        <w:rPr>
          <w:sz w:val="21"/>
        </w:rPr>
      </w:pPr>
      <w:r>
        <w:rPr>
          <w:sz w:val="21"/>
        </w:rPr>
        <w:t>К убыткам в Договоре, в том числе, относится разница между ценой Товара, приобретенного Покупателем, аналогичному недопоставленному, по более высокой цене, и ценой, установленной в Договоре.</w:t>
      </w:r>
    </w:p>
    <w:p w14:paraId="23E531A5">
      <w:pPr>
        <w:widowControl w:val="0"/>
        <w:tabs>
          <w:tab w:val="left" w:pos="1134"/>
        </w:tabs>
        <w:ind w:firstLine="567"/>
        <w:jc w:val="both"/>
        <w:rPr>
          <w:sz w:val="21"/>
        </w:rPr>
      </w:pPr>
    </w:p>
    <w:p w14:paraId="2AAE45D8">
      <w:pPr>
        <w:widowControl w:val="0"/>
        <w:tabs>
          <w:tab w:val="left" w:pos="426"/>
          <w:tab w:val="left" w:pos="1134"/>
        </w:tabs>
        <w:ind w:firstLine="567"/>
        <w:jc w:val="center"/>
        <w:rPr>
          <w:b/>
          <w:sz w:val="21"/>
        </w:rPr>
      </w:pPr>
      <w:r>
        <w:rPr>
          <w:b/>
          <w:sz w:val="21"/>
        </w:rPr>
        <w:t>13. СРОК ДЕЙСТВИЯ ДОГОВОРА</w:t>
      </w:r>
    </w:p>
    <w:p w14:paraId="7ABA48D1">
      <w:pPr>
        <w:widowControl w:val="0"/>
        <w:tabs>
          <w:tab w:val="left" w:pos="1134"/>
        </w:tabs>
        <w:ind w:firstLine="567"/>
        <w:jc w:val="both"/>
        <w:rPr>
          <w:sz w:val="21"/>
        </w:rPr>
      </w:pPr>
      <w:r>
        <w:rPr>
          <w:sz w:val="21"/>
        </w:rPr>
        <w:t>13.1. Настоящий Договор действует с даты заключения и до полного исполнения Сторонами своих обязательств.</w:t>
      </w:r>
    </w:p>
    <w:p w14:paraId="2AEADA3C">
      <w:pPr>
        <w:ind w:firstLine="567"/>
        <w:jc w:val="both"/>
        <w:rPr>
          <w:sz w:val="21"/>
          <w:szCs w:val="21"/>
        </w:rPr>
      </w:pPr>
      <w:r>
        <w:rPr>
          <w:sz w:val="21"/>
          <w:szCs w:val="21"/>
        </w:rPr>
        <w:t>Датой подписания Сторонами Договора является дата, указанная в верхнем правом углу первой страницы Договора.</w:t>
      </w:r>
    </w:p>
    <w:p w14:paraId="6888680C">
      <w:pPr>
        <w:widowControl w:val="0"/>
        <w:tabs>
          <w:tab w:val="left" w:pos="1134"/>
        </w:tabs>
        <w:ind w:firstLine="567"/>
        <w:jc w:val="both"/>
        <w:rPr>
          <w:sz w:val="21"/>
        </w:rPr>
      </w:pPr>
    </w:p>
    <w:p w14:paraId="2A5EBEA7">
      <w:pPr>
        <w:widowControl w:val="0"/>
        <w:tabs>
          <w:tab w:val="left" w:pos="1134"/>
        </w:tabs>
        <w:ind w:firstLine="567"/>
        <w:jc w:val="center"/>
        <w:rPr>
          <w:b/>
          <w:sz w:val="21"/>
        </w:rPr>
      </w:pPr>
      <w:r>
        <w:rPr>
          <w:b/>
          <w:sz w:val="21"/>
        </w:rPr>
        <w:t>14. ПРОЧИЕ УСЛОВИЯ</w:t>
      </w:r>
    </w:p>
    <w:p w14:paraId="0FC4C8C4">
      <w:pPr>
        <w:widowControl w:val="0"/>
        <w:tabs>
          <w:tab w:val="left" w:pos="567"/>
          <w:tab w:val="left" w:pos="1134"/>
        </w:tabs>
        <w:ind w:firstLine="567"/>
        <w:jc w:val="both"/>
        <w:rPr>
          <w:sz w:val="21"/>
        </w:rPr>
      </w:pPr>
      <w:r>
        <w:rPr>
          <w:sz w:val="21"/>
        </w:rPr>
        <w:t xml:space="preserve">14.1. Поставщик не вправе полностью или частично уступать свои права по настоящему Договору третьим лицам, в том числе в залог, без предварительного письменного согласования с Покупателем. </w:t>
      </w:r>
    </w:p>
    <w:p w14:paraId="0B56AE3F">
      <w:pPr>
        <w:widowControl w:val="0"/>
        <w:tabs>
          <w:tab w:val="left" w:pos="567"/>
          <w:tab w:val="left" w:pos="1134"/>
        </w:tabs>
        <w:ind w:firstLine="567"/>
        <w:jc w:val="both"/>
        <w:rPr>
          <w:sz w:val="21"/>
        </w:rPr>
      </w:pPr>
      <w:r>
        <w:rPr>
          <w:sz w:val="21"/>
        </w:rPr>
        <w:t>14.2. Подписывая настоящий Договор, Поставщик гарантирует, что поставка Товара в соответствии с Договором не нарушает прав и законных интересов третьих лиц, Товар не обременен какими бы то ни было обязательствами перед третьими лицами, не находится под залогом и арестом, а также не нарушает чьих-либо прав на результаты интеллектуальной деятельности, в том числе, патентных прав, лицензионных прав, а также прав на средства индивидуализации юридических лиц, товаров, работ, услуг и предприятий, прав на секреты производства (ноу-хау), связанных с использованием Товара или любой его части в стране Покупателя.</w:t>
      </w:r>
    </w:p>
    <w:p w14:paraId="70E8EBA3">
      <w:pPr>
        <w:widowControl w:val="0"/>
        <w:tabs>
          <w:tab w:val="left" w:pos="567"/>
          <w:tab w:val="left" w:pos="1134"/>
        </w:tabs>
        <w:ind w:firstLine="567"/>
        <w:jc w:val="both"/>
        <w:rPr>
          <w:sz w:val="21"/>
        </w:rPr>
      </w:pPr>
      <w:r>
        <w:rPr>
          <w:sz w:val="21"/>
        </w:rPr>
        <w:t>В случае нарушения пункта Поставщик самостоятельно и за свой счет обязуется устранить эти нарушения и препятствия для свободного владения и распоряжения Товаром, его использования Покупателем, и возместить Покупателю убытки, понесенные в связи с указанными нарушениями.</w:t>
      </w:r>
    </w:p>
    <w:p w14:paraId="532D1AAD">
      <w:pPr>
        <w:widowControl w:val="0"/>
        <w:tabs>
          <w:tab w:val="left" w:pos="567"/>
          <w:tab w:val="left" w:pos="1134"/>
        </w:tabs>
        <w:ind w:firstLine="567"/>
        <w:jc w:val="both"/>
        <w:rPr>
          <w:sz w:val="21"/>
        </w:rPr>
      </w:pPr>
      <w:r>
        <w:rPr>
          <w:sz w:val="21"/>
        </w:rPr>
        <w:t>14.3. При изменении Сведений Поставщик обязан не позднее 5 (Пяти) дней с момента таких изменений направить Покупателю соответствующее письменное уведомление с приложением копий подтверждающих документов, заверенных нотариусом или уполномоченным должностным лицом Поставщика.</w:t>
      </w:r>
    </w:p>
    <w:p w14:paraId="1F22C11C">
      <w:pPr>
        <w:widowControl w:val="0"/>
        <w:tabs>
          <w:tab w:val="left" w:pos="567"/>
          <w:tab w:val="left" w:pos="1134"/>
        </w:tabs>
        <w:ind w:firstLine="567"/>
        <w:jc w:val="both"/>
        <w:rPr>
          <w:sz w:val="21"/>
        </w:rPr>
      </w:pPr>
      <w:r>
        <w:rPr>
          <w:sz w:val="21"/>
        </w:rPr>
        <w:t>14.4. «Антикоррупционная оговорка»</w:t>
      </w:r>
    </w:p>
    <w:p w14:paraId="13570652">
      <w:pPr>
        <w:widowControl w:val="0"/>
        <w:tabs>
          <w:tab w:val="left" w:pos="1134"/>
        </w:tabs>
        <w:ind w:firstLine="567"/>
        <w:jc w:val="both"/>
        <w:rPr>
          <w:sz w:val="21"/>
        </w:rPr>
      </w:pPr>
      <w:r>
        <w:rPr>
          <w:sz w:val="21"/>
        </w:rPr>
        <w:t xml:space="preserve">При исполнении Договора Стороны соблюдают и будут соблюдать в дальнейшем все применимые законы и нормативные акты, включая любые применимые законы о противодействии взяточничеству </w:t>
      </w:r>
      <w:r>
        <w:rPr>
          <w:sz w:val="21"/>
        </w:rPr>
        <w:br w:type="textWrapping"/>
      </w:r>
      <w:r>
        <w:rPr>
          <w:sz w:val="21"/>
        </w:rPr>
        <w:t>и коррупции.</w:t>
      </w:r>
    </w:p>
    <w:p w14:paraId="0C9A45A5">
      <w:pPr>
        <w:widowControl w:val="0"/>
        <w:tabs>
          <w:tab w:val="left" w:pos="1134"/>
        </w:tabs>
        <w:ind w:firstLine="567"/>
        <w:jc w:val="both"/>
        <w:rPr>
          <w:sz w:val="21"/>
        </w:rPr>
      </w:pPr>
      <w:r>
        <w:rPr>
          <w:sz w:val="21"/>
        </w:rPr>
        <w:t xml:space="preserve">Стороны и любые их должностные лица, работники, акционеры, представители, агенты, или любые лица, действующие от имени или в интересах или по просьбе какой-либо из Сторон в связи с Договором, </w:t>
      </w:r>
      <w:r>
        <w:rPr>
          <w:sz w:val="21"/>
        </w:rPr>
        <w:br w:type="textWrapping"/>
      </w:r>
      <w:r>
        <w:rPr>
          <w:sz w:val="21"/>
        </w:rPr>
        <w:t xml:space="preserve">не будут прямо или косвенно, в рамках деловых отношений в сфере предпринимательской деятельности </w:t>
      </w:r>
      <w:r>
        <w:rPr>
          <w:sz w:val="21"/>
        </w:rPr>
        <w:br w:type="textWrapping"/>
      </w:r>
      <w:r>
        <w:rPr>
          <w:sz w:val="21"/>
        </w:rPr>
        <w:t>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с целью исполнения (воздержания от исполнения) каких-либо условий Договора, если указанные действия нарушают применимые законы или нормативные акты о противодействии взяточничеству и коррупции.</w:t>
      </w:r>
    </w:p>
    <w:p w14:paraId="0CC3C06B">
      <w:pPr>
        <w:widowControl w:val="0"/>
        <w:tabs>
          <w:tab w:val="left" w:pos="0"/>
          <w:tab w:val="left" w:pos="426"/>
          <w:tab w:val="left" w:pos="1134"/>
        </w:tabs>
        <w:ind w:firstLine="567"/>
        <w:jc w:val="both"/>
        <w:rPr>
          <w:sz w:val="21"/>
        </w:rPr>
      </w:pPr>
    </w:p>
    <w:p w14:paraId="4CB98C75">
      <w:pPr>
        <w:widowControl w:val="0"/>
        <w:tabs>
          <w:tab w:val="left" w:pos="1134"/>
          <w:tab w:val="left" w:pos="3119"/>
          <w:tab w:val="left" w:pos="3402"/>
          <w:tab w:val="left" w:pos="3686"/>
        </w:tabs>
        <w:jc w:val="center"/>
        <w:rPr>
          <w:b/>
          <w:sz w:val="21"/>
        </w:rPr>
      </w:pPr>
      <w:r>
        <w:rPr>
          <w:b/>
          <w:sz w:val="21"/>
        </w:rPr>
        <w:t>15. ЗАКЛЮЧИТЕЛЬНЫЕ ПОЛОЖЕНИЯ</w:t>
      </w:r>
    </w:p>
    <w:p w14:paraId="054E3834">
      <w:pPr>
        <w:widowControl w:val="0"/>
        <w:tabs>
          <w:tab w:val="left" w:pos="0"/>
          <w:tab w:val="left" w:pos="851"/>
        </w:tabs>
        <w:ind w:firstLine="709"/>
        <w:jc w:val="both"/>
        <w:rPr>
          <w:sz w:val="21"/>
        </w:rPr>
      </w:pPr>
      <w:r>
        <w:rPr>
          <w:sz w:val="21"/>
        </w:rPr>
        <w:t xml:space="preserve">15.1. В случае изменения у какой-либо из Сторон юридического статуса, адреса и банковских реквизитов, она обязана в течение 5 (пяти) календарных дней со дня возникновения изменений известить </w:t>
      </w:r>
      <w:r>
        <w:rPr>
          <w:sz w:val="21"/>
        </w:rPr>
        <w:br w:type="textWrapping"/>
      </w:r>
      <w:r>
        <w:rPr>
          <w:sz w:val="21"/>
        </w:rPr>
        <w:t>об этом другую Сторону.</w:t>
      </w:r>
    </w:p>
    <w:p w14:paraId="24CED23F">
      <w:pPr>
        <w:widowControl w:val="0"/>
        <w:tabs>
          <w:tab w:val="left" w:pos="0"/>
          <w:tab w:val="left" w:pos="709"/>
        </w:tabs>
        <w:ind w:firstLine="709"/>
        <w:jc w:val="both"/>
        <w:rPr>
          <w:sz w:val="21"/>
        </w:rPr>
      </w:pPr>
      <w:r>
        <w:rPr>
          <w:sz w:val="21"/>
        </w:rPr>
        <w:t xml:space="preserve">15.2. Документы по настоящему Договору, переданные посредством факсимильной / электронной связи, принимаются сторонами к исполнению и руководству с последующим предоставлением другой Стороне их оригиналов, подписанных уполномоченными представителями Сторон. </w:t>
      </w:r>
    </w:p>
    <w:p w14:paraId="2D648CEF">
      <w:pPr>
        <w:widowControl w:val="0"/>
        <w:tabs>
          <w:tab w:val="left" w:pos="0"/>
          <w:tab w:val="left" w:pos="1134"/>
        </w:tabs>
        <w:ind w:firstLine="567"/>
        <w:jc w:val="both"/>
        <w:rPr>
          <w:sz w:val="21"/>
        </w:rPr>
      </w:pPr>
      <w:r>
        <w:rPr>
          <w:sz w:val="21"/>
        </w:rPr>
        <w:t xml:space="preserve">Стороны согласовали, что любое сообщение от Покупателя, полученное Поставщиком </w:t>
      </w:r>
      <w:r>
        <w:rPr>
          <w:sz w:val="21"/>
        </w:rPr>
        <w:br w:type="textWrapping"/>
      </w:r>
      <w:r>
        <w:rPr>
          <w:sz w:val="21"/>
        </w:rPr>
        <w:t xml:space="preserve">на номер факсимильной связи и/или на почтовый адрес электронной связи, указанный в ст. 16 Договора, </w:t>
      </w:r>
      <w:r>
        <w:rPr>
          <w:sz w:val="21"/>
        </w:rPr>
        <w:br w:type="textWrapping"/>
      </w:r>
      <w:r>
        <w:rPr>
          <w:sz w:val="21"/>
        </w:rPr>
        <w:t xml:space="preserve">с номеров факсимильной связи и/или почтовых адресов электронной связи с доменным именем </w:t>
      </w:r>
      <w:r>
        <w:rPr>
          <w:color w:val="000000" w:themeColor="text1"/>
          <w:sz w:val="21"/>
          <w14:textFill>
            <w14:solidFill>
              <w14:schemeClr w14:val="tx1"/>
            </w14:solidFill>
          </w14:textFill>
        </w:rPr>
        <w:t>_</w:t>
      </w:r>
      <w:r>
        <w:rPr>
          <w:color w:val="000000" w:themeColor="text1"/>
          <w:sz w:val="21"/>
          <w:highlight w:val="yellow"/>
          <w14:textFill>
            <w14:solidFill>
              <w14:schemeClr w14:val="tx1"/>
            </w14:solidFill>
          </w14:textFill>
        </w:rPr>
        <w:t>_____________</w:t>
      </w:r>
      <w:r>
        <w:rPr>
          <w:sz w:val="21"/>
        </w:rPr>
        <w:t>, являются достаточными для идентификации и установления достоверности, что указанное сообщение исходит от Покупателя по Договору.</w:t>
      </w:r>
    </w:p>
    <w:p w14:paraId="057F82B2">
      <w:pPr>
        <w:ind w:firstLine="567"/>
        <w:jc w:val="both"/>
        <w:rPr>
          <w:sz w:val="21"/>
        </w:rPr>
      </w:pPr>
      <w:r>
        <w:rPr>
          <w:color w:val="2B2B2B"/>
          <w:sz w:val="21"/>
        </w:rPr>
        <w:t>Датой передачи соответствующего сообщения считается день отправления сообщения электронной почты. 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форс-мажорных обстоятельств».</w:t>
      </w:r>
    </w:p>
    <w:p w14:paraId="07C5A04A">
      <w:pPr>
        <w:ind w:firstLine="567"/>
        <w:jc w:val="both"/>
        <w:rPr>
          <w:sz w:val="21"/>
        </w:rPr>
      </w:pPr>
      <w:r>
        <w:rPr>
          <w:sz w:val="21"/>
        </w:rPr>
        <w:t xml:space="preserve">Снимки экрана, распечатанные с почтовых адресов с доменным именем </w:t>
      </w:r>
      <w:r>
        <w:rPr>
          <w:color w:val="000000" w:themeColor="text1"/>
          <w:sz w:val="21"/>
          <w:highlight w:val="yellow"/>
          <w14:textFill>
            <w14:solidFill>
              <w14:schemeClr w14:val="tx1"/>
            </w14:solidFill>
          </w14:textFill>
        </w:rPr>
        <w:t>__________</w:t>
      </w:r>
      <w:r>
        <w:rPr>
          <w:sz w:val="21"/>
        </w:rPr>
        <w:t>, признаются достаточными документами, подтверждающими факт направления заявки и иного сообщения.</w:t>
      </w:r>
    </w:p>
    <w:p w14:paraId="43A2DE25">
      <w:pPr>
        <w:ind w:firstLine="567"/>
        <w:jc w:val="both"/>
        <w:rPr>
          <w:sz w:val="21"/>
        </w:rPr>
      </w:pPr>
      <w:r>
        <w:rPr>
          <w:sz w:val="21"/>
        </w:rPr>
        <w:t>Стороны обязуются незамедлительно сообщать друг другу обо всех случаях несанкционированного доступа к их электронным адресам.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14:paraId="5A31122C">
      <w:pPr>
        <w:widowControl w:val="0"/>
        <w:tabs>
          <w:tab w:val="left" w:pos="0"/>
          <w:tab w:val="left" w:pos="709"/>
        </w:tabs>
        <w:ind w:firstLine="709"/>
        <w:jc w:val="both"/>
        <w:rPr>
          <w:sz w:val="21"/>
        </w:rPr>
      </w:pPr>
      <w:r>
        <w:rPr>
          <w:sz w:val="21"/>
        </w:rPr>
        <w:t>15.3. Все изменения и дополнения к настоящему Договору считаются действительными, если они оформлены в письменном виде, скреплены печатями (при их наличии) и подписаны уполномоченными представителями Сторон.</w:t>
      </w:r>
    </w:p>
    <w:p w14:paraId="27930EEF">
      <w:pPr>
        <w:widowControl w:val="0"/>
        <w:tabs>
          <w:tab w:val="left" w:pos="0"/>
          <w:tab w:val="left" w:pos="709"/>
          <w:tab w:val="left" w:pos="1211"/>
        </w:tabs>
        <w:ind w:firstLine="709"/>
        <w:jc w:val="both"/>
        <w:rPr>
          <w:sz w:val="21"/>
        </w:rPr>
      </w:pPr>
      <w:r>
        <w:rPr>
          <w:sz w:val="21"/>
        </w:rPr>
        <w:t>При внесении изменений и дополнений в Договор Стороны должны руководствоваться условиями Договора, действующим законодательством РФ.</w:t>
      </w:r>
    </w:p>
    <w:p w14:paraId="6C5B2912">
      <w:pPr>
        <w:widowControl w:val="0"/>
        <w:tabs>
          <w:tab w:val="left" w:pos="0"/>
          <w:tab w:val="left" w:pos="709"/>
          <w:tab w:val="left" w:pos="1211"/>
        </w:tabs>
        <w:ind w:firstLine="709"/>
        <w:jc w:val="both"/>
        <w:rPr>
          <w:sz w:val="21"/>
        </w:rPr>
      </w:pPr>
      <w:r>
        <w:rPr>
          <w:spacing w:val="-6"/>
          <w:sz w:val="21"/>
          <w:szCs w:val="21"/>
        </w:rPr>
        <w:t>Стороны пришли к соглашению о том, что использование мессенджеров не является допустимым способом доставки юридически значимых сообщений, связанных с возникновением, изменением или прекращением обязательств, основанных на Договоре, и не имеет юридической силы.</w:t>
      </w:r>
    </w:p>
    <w:p w14:paraId="45B786A9">
      <w:pPr>
        <w:widowControl w:val="0"/>
        <w:tabs>
          <w:tab w:val="left" w:pos="0"/>
          <w:tab w:val="left" w:pos="709"/>
          <w:tab w:val="left" w:pos="1276"/>
        </w:tabs>
        <w:ind w:firstLine="709"/>
        <w:jc w:val="both"/>
        <w:rPr>
          <w:sz w:val="21"/>
        </w:rPr>
      </w:pPr>
      <w:r>
        <w:rPr>
          <w:sz w:val="21"/>
        </w:rPr>
        <w:t>15.4.  По всем остальным вопросам, не урегулированным Договором, Покупатель и Поставщик должны руководствоваться нормами действующего гражданского законодательства.</w:t>
      </w:r>
    </w:p>
    <w:p w14:paraId="2CB5E26E">
      <w:pPr>
        <w:widowControl w:val="0"/>
        <w:tabs>
          <w:tab w:val="left" w:pos="0"/>
          <w:tab w:val="left" w:pos="709"/>
          <w:tab w:val="left" w:pos="1276"/>
        </w:tabs>
        <w:ind w:firstLine="709"/>
        <w:jc w:val="both"/>
        <w:rPr>
          <w:sz w:val="21"/>
        </w:rPr>
      </w:pPr>
      <w:r>
        <w:rPr>
          <w:sz w:val="21"/>
        </w:rPr>
        <w:t xml:space="preserve">15.5.  Поставщик подтверждает, что он заключил Договор на основании должного изучения информации, представленной Покупателем и закупочной документации. </w:t>
      </w:r>
    </w:p>
    <w:p w14:paraId="58BC520D">
      <w:pPr>
        <w:widowControl w:val="0"/>
        <w:tabs>
          <w:tab w:val="left" w:pos="0"/>
          <w:tab w:val="left" w:pos="709"/>
          <w:tab w:val="left" w:pos="1276"/>
        </w:tabs>
        <w:ind w:firstLine="709"/>
        <w:jc w:val="both"/>
        <w:rPr>
          <w:sz w:val="21"/>
        </w:rPr>
      </w:pPr>
      <w:r>
        <w:rPr>
          <w:sz w:val="21"/>
        </w:rPr>
        <w:t>15.6.  Настоящий Договор составлен в 2 (двух) экземплярах, имеющих одинаковую силу, по одному для каждой из Сторон.</w:t>
      </w:r>
    </w:p>
    <w:p w14:paraId="4BA4B07D">
      <w:pPr>
        <w:widowControl w:val="0"/>
        <w:tabs>
          <w:tab w:val="left" w:pos="0"/>
          <w:tab w:val="left" w:pos="709"/>
          <w:tab w:val="left" w:pos="1276"/>
        </w:tabs>
        <w:ind w:firstLine="709"/>
        <w:jc w:val="both"/>
        <w:rPr>
          <w:sz w:val="21"/>
        </w:rPr>
      </w:pPr>
      <w:r>
        <w:rPr>
          <w:sz w:val="21"/>
        </w:rPr>
        <w:t xml:space="preserve">15.7. Недействительность отдельных положений Договора не влечет недействительности Договора </w:t>
      </w:r>
      <w:r>
        <w:rPr>
          <w:sz w:val="21"/>
        </w:rPr>
        <w:br w:type="textWrapping"/>
      </w:r>
      <w:r>
        <w:rPr>
          <w:sz w:val="21"/>
        </w:rPr>
        <w:t xml:space="preserve">в целом. </w:t>
      </w:r>
    </w:p>
    <w:p w14:paraId="0813773E">
      <w:pPr>
        <w:widowControl w:val="0"/>
        <w:tabs>
          <w:tab w:val="left" w:pos="0"/>
          <w:tab w:val="left" w:pos="709"/>
          <w:tab w:val="left" w:pos="1211"/>
        </w:tabs>
        <w:ind w:firstLine="709"/>
        <w:jc w:val="both"/>
        <w:rPr>
          <w:sz w:val="21"/>
        </w:rPr>
      </w:pPr>
      <w:r>
        <w:rPr>
          <w:sz w:val="21"/>
        </w:rPr>
        <w:t>15.8. Неприменимость отдельных положений Договора, связанных со спецификой поставляемого Товара, не влечет изменение объема прав и обязанностей Сторон по Договору, в отношении иных применимых условий Договора.</w:t>
      </w:r>
    </w:p>
    <w:p w14:paraId="6DD2321A">
      <w:pPr>
        <w:widowControl w:val="0"/>
        <w:tabs>
          <w:tab w:val="left" w:pos="0"/>
          <w:tab w:val="left" w:pos="709"/>
          <w:tab w:val="left" w:pos="1211"/>
        </w:tabs>
        <w:ind w:firstLine="709"/>
        <w:jc w:val="both"/>
        <w:rPr>
          <w:sz w:val="21"/>
        </w:rPr>
      </w:pPr>
      <w:r>
        <w:rPr>
          <w:sz w:val="21"/>
        </w:rPr>
        <w:t>15.9. Неотъемлемой частью Договора являются следующие приложения:</w:t>
      </w:r>
    </w:p>
    <w:p w14:paraId="33D91292">
      <w:pPr>
        <w:widowControl w:val="0"/>
        <w:numPr>
          <w:ilvl w:val="0"/>
          <w:numId w:val="4"/>
        </w:numPr>
        <w:tabs>
          <w:tab w:val="left" w:pos="851"/>
          <w:tab w:val="left" w:pos="2410"/>
        </w:tabs>
        <w:ind w:left="0" w:firstLine="709"/>
        <w:jc w:val="both"/>
        <w:rPr>
          <w:sz w:val="21"/>
        </w:rPr>
      </w:pPr>
      <w:bookmarkStart w:id="4" w:name="_Ref434927612"/>
      <w:r>
        <w:rPr>
          <w:sz w:val="21"/>
        </w:rPr>
        <w:t>Спецификация;</w:t>
      </w:r>
    </w:p>
    <w:p w14:paraId="52C3C347">
      <w:pPr>
        <w:widowControl w:val="0"/>
        <w:numPr>
          <w:ilvl w:val="0"/>
          <w:numId w:val="4"/>
        </w:numPr>
        <w:tabs>
          <w:tab w:val="left" w:pos="851"/>
          <w:tab w:val="left" w:pos="2410"/>
        </w:tabs>
        <w:ind w:left="0" w:firstLine="709"/>
        <w:jc w:val="both"/>
        <w:rPr>
          <w:sz w:val="21"/>
        </w:rPr>
      </w:pPr>
      <w:r>
        <w:rPr>
          <w:sz w:val="21"/>
        </w:rPr>
        <w:t>Техническое задание</w:t>
      </w:r>
    </w:p>
    <w:bookmarkEnd w:id="4"/>
    <w:p w14:paraId="39F714ED">
      <w:pPr>
        <w:widowControl w:val="0"/>
        <w:tabs>
          <w:tab w:val="left" w:pos="2410"/>
        </w:tabs>
        <w:ind w:left="709"/>
        <w:jc w:val="both"/>
        <w:rPr>
          <w:sz w:val="21"/>
        </w:rPr>
      </w:pPr>
    </w:p>
    <w:p w14:paraId="651F8855">
      <w:pPr>
        <w:widowControl w:val="0"/>
        <w:tabs>
          <w:tab w:val="left" w:pos="0"/>
          <w:tab w:val="left" w:pos="1134"/>
        </w:tabs>
        <w:ind w:firstLine="567"/>
        <w:rPr>
          <w:sz w:val="21"/>
        </w:rPr>
      </w:pPr>
    </w:p>
    <w:p w14:paraId="05BE07CA">
      <w:pPr>
        <w:widowControl w:val="0"/>
        <w:jc w:val="center"/>
        <w:rPr>
          <w:b/>
          <w:sz w:val="21"/>
        </w:rPr>
      </w:pPr>
      <w:r>
        <w:rPr>
          <w:b/>
          <w:sz w:val="21"/>
        </w:rPr>
        <w:t>16. АДРЕСА И РЕКВИЗИТЫ СТОРОН</w:t>
      </w:r>
    </w:p>
    <w:p w14:paraId="0E819CD2">
      <w:pPr>
        <w:widowControl w:val="0"/>
        <w:jc w:val="center"/>
        <w:rPr>
          <w:b/>
          <w:sz w:val="21"/>
        </w:rPr>
      </w:pPr>
    </w:p>
    <w:tbl>
      <w:tblPr>
        <w:tblStyle w:val="8"/>
        <w:tblW w:w="10063" w:type="dxa"/>
        <w:tblInd w:w="0" w:type="dxa"/>
        <w:tblLayout w:type="fixed"/>
        <w:tblCellMar>
          <w:top w:w="0" w:type="dxa"/>
          <w:left w:w="108" w:type="dxa"/>
          <w:bottom w:w="0" w:type="dxa"/>
          <w:right w:w="108" w:type="dxa"/>
        </w:tblCellMar>
      </w:tblPr>
      <w:tblGrid>
        <w:gridCol w:w="5069"/>
        <w:gridCol w:w="4994"/>
      </w:tblGrid>
      <w:tr w14:paraId="45FC0E7E">
        <w:tblPrEx>
          <w:tblCellMar>
            <w:top w:w="0" w:type="dxa"/>
            <w:left w:w="108" w:type="dxa"/>
            <w:bottom w:w="0" w:type="dxa"/>
            <w:right w:w="108" w:type="dxa"/>
          </w:tblCellMar>
        </w:tblPrEx>
        <w:trPr>
          <w:trHeight w:val="340" w:hRule="atLeast"/>
        </w:trPr>
        <w:tc>
          <w:tcPr>
            <w:tcW w:w="5069" w:type="dxa"/>
          </w:tcPr>
          <w:p w14:paraId="687367EB">
            <w:pPr>
              <w:widowControl w:val="0"/>
              <w:tabs>
                <w:tab w:val="left" w:pos="1134"/>
              </w:tabs>
              <w:rPr>
                <w:b/>
                <w:sz w:val="21"/>
              </w:rPr>
            </w:pPr>
            <w:r>
              <w:rPr>
                <w:b/>
                <w:sz w:val="21"/>
              </w:rPr>
              <w:t>ПОСТАВЩИК:</w:t>
            </w:r>
          </w:p>
          <w:p w14:paraId="37574968">
            <w:pPr>
              <w:widowControl w:val="0"/>
              <w:tabs>
                <w:tab w:val="left" w:pos="1134"/>
              </w:tabs>
              <w:rPr>
                <w:b/>
                <w:sz w:val="21"/>
              </w:rPr>
            </w:pPr>
          </w:p>
          <w:p w14:paraId="029CDDBC">
            <w:pPr>
              <w:widowControl w:val="0"/>
              <w:tabs>
                <w:tab w:val="left" w:pos="1134"/>
              </w:tabs>
              <w:rPr>
                <w:b/>
                <w:sz w:val="21"/>
              </w:rPr>
            </w:pPr>
          </w:p>
        </w:tc>
        <w:tc>
          <w:tcPr>
            <w:tcW w:w="4994" w:type="dxa"/>
          </w:tcPr>
          <w:p w14:paraId="56F31690">
            <w:pPr>
              <w:widowControl w:val="0"/>
              <w:rPr>
                <w:b/>
                <w:sz w:val="21"/>
                <w:szCs w:val="21"/>
              </w:rPr>
            </w:pPr>
            <w:r>
              <w:rPr>
                <w:b/>
                <w:sz w:val="21"/>
                <w:szCs w:val="21"/>
              </w:rPr>
              <w:t>ПОКУПАТЕЛЬ</w:t>
            </w:r>
          </w:p>
          <w:p w14:paraId="48138BB5">
            <w:pPr>
              <w:widowControl w:val="0"/>
              <w:rPr>
                <w:sz w:val="21"/>
                <w:szCs w:val="21"/>
              </w:rPr>
            </w:pPr>
            <w:r>
              <w:rPr>
                <w:sz w:val="21"/>
                <w:szCs w:val="21"/>
              </w:rPr>
              <w:t>ООО «САТОМС»</w:t>
            </w:r>
          </w:p>
          <w:p w14:paraId="79B466CB">
            <w:pPr>
              <w:widowControl w:val="0"/>
              <w:rPr>
                <w:sz w:val="21"/>
                <w:szCs w:val="21"/>
              </w:rPr>
            </w:pPr>
            <w:r>
              <w:rPr>
                <w:sz w:val="21"/>
                <w:szCs w:val="21"/>
              </w:rPr>
              <w:t>394026, Воронежская область, город Воронеж,  улица Солнечная, дом 31, офис 202</w:t>
            </w:r>
          </w:p>
          <w:p w14:paraId="56E8A10D">
            <w:pPr>
              <w:pStyle w:val="152"/>
              <w:rPr>
                <w:rFonts w:ascii="Times New Roman" w:hAnsi="Times New Roman"/>
                <w:sz w:val="21"/>
                <w:szCs w:val="21"/>
              </w:rPr>
            </w:pPr>
            <w:r>
              <w:rPr>
                <w:rFonts w:ascii="Times New Roman" w:hAnsi="Times New Roman"/>
                <w:sz w:val="21"/>
                <w:szCs w:val="21"/>
              </w:rPr>
              <w:t>ИНН 3662287463</w:t>
            </w:r>
          </w:p>
          <w:p w14:paraId="3577607E">
            <w:pPr>
              <w:pStyle w:val="152"/>
              <w:rPr>
                <w:rFonts w:ascii="Times New Roman" w:hAnsi="Times New Roman"/>
                <w:sz w:val="21"/>
                <w:szCs w:val="21"/>
              </w:rPr>
            </w:pPr>
            <w:r>
              <w:rPr>
                <w:rFonts w:ascii="Times New Roman" w:hAnsi="Times New Roman"/>
                <w:sz w:val="21"/>
                <w:szCs w:val="21"/>
              </w:rPr>
              <w:t>КПП 366201001</w:t>
            </w:r>
          </w:p>
          <w:p w14:paraId="3FBD8369">
            <w:pPr>
              <w:pStyle w:val="152"/>
              <w:rPr>
                <w:rFonts w:ascii="Times New Roman" w:hAnsi="Times New Roman"/>
                <w:sz w:val="21"/>
                <w:szCs w:val="21"/>
              </w:rPr>
            </w:pPr>
            <w:r>
              <w:rPr>
                <w:rFonts w:ascii="Times New Roman" w:hAnsi="Times New Roman"/>
                <w:sz w:val="21"/>
                <w:szCs w:val="21"/>
              </w:rPr>
              <w:t>ОГРН 1203600028972</w:t>
            </w:r>
          </w:p>
          <w:p w14:paraId="2ED8DFF6">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Расчетный счет № 40702810410000000269</w:t>
            </w:r>
          </w:p>
          <w:p w14:paraId="5114A3CD">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ПАО АКБ «Металлинвестбанк»</w:t>
            </w:r>
          </w:p>
          <w:p w14:paraId="1FDCDB99">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ИНН 7709138570 КПП 770601001</w:t>
            </w:r>
          </w:p>
          <w:p w14:paraId="76E1342D">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Код ОКПО 17535627</w:t>
            </w:r>
          </w:p>
          <w:p w14:paraId="389B9A02">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ОГРН 1027700218666</w:t>
            </w:r>
          </w:p>
          <w:p w14:paraId="44701BB6">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Корр. счет 30101810300000000176</w:t>
            </w:r>
          </w:p>
          <w:p w14:paraId="1BE3FEEB">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в ГУ Банка России по ЦФО</w:t>
            </w:r>
          </w:p>
          <w:p w14:paraId="14B74322">
            <w:pPr>
              <w:pStyle w:val="152"/>
              <w:rPr>
                <w:rFonts w:ascii="Times New Roman" w:hAnsi="Times New Roman"/>
                <w:sz w:val="21"/>
                <w:szCs w:val="21"/>
                <w:shd w:val="clear" w:color="auto" w:fill="FFFFFF"/>
              </w:rPr>
            </w:pPr>
            <w:r>
              <w:rPr>
                <w:rFonts w:ascii="Times New Roman" w:hAnsi="Times New Roman"/>
                <w:sz w:val="21"/>
                <w:szCs w:val="21"/>
                <w:shd w:val="clear" w:color="auto" w:fill="FFFFFF"/>
              </w:rPr>
              <w:t>БИК 044525176</w:t>
            </w:r>
          </w:p>
          <w:p w14:paraId="7CD8C079">
            <w:pPr>
              <w:widowControl w:val="0"/>
              <w:rPr>
                <w:color w:val="0000FF"/>
                <w:sz w:val="21"/>
                <w:szCs w:val="21"/>
                <w:u w:val="single"/>
                <w:shd w:val="clear" w:color="auto" w:fill="FFFFFF"/>
              </w:rPr>
            </w:pPr>
            <w:r>
              <w:rPr>
                <w:sz w:val="21"/>
                <w:szCs w:val="21"/>
              </w:rPr>
              <w:t>Электронная почта</w:t>
            </w:r>
            <w:r>
              <w:rPr>
                <w:color w:val="0000FF"/>
                <w:sz w:val="21"/>
                <w:szCs w:val="21"/>
                <w:u w:val="single"/>
                <w:shd w:val="clear" w:color="auto" w:fill="FFFFFF"/>
              </w:rPr>
              <w:t xml:space="preserve">: </w:t>
            </w:r>
            <w:r>
              <w:fldChar w:fldCharType="begin"/>
            </w:r>
            <w:r>
              <w:instrText xml:space="preserve"> HYPERLINK "mailto:satoms@satoms.ru" </w:instrText>
            </w:r>
            <w:r>
              <w:fldChar w:fldCharType="separate"/>
            </w:r>
            <w:r>
              <w:rPr>
                <w:rStyle w:val="16"/>
                <w:sz w:val="21"/>
                <w:szCs w:val="21"/>
                <w:shd w:val="clear" w:color="auto" w:fill="FFFFFF"/>
              </w:rPr>
              <w:t>satoms@satoms.ru</w:t>
            </w:r>
            <w:r>
              <w:rPr>
                <w:rStyle w:val="16"/>
                <w:sz w:val="21"/>
                <w:szCs w:val="21"/>
                <w:shd w:val="clear" w:color="auto" w:fill="FFFFFF"/>
              </w:rPr>
              <w:fldChar w:fldCharType="end"/>
            </w:r>
          </w:p>
          <w:p w14:paraId="177FACEC">
            <w:pPr>
              <w:pStyle w:val="152"/>
              <w:rPr>
                <w:rFonts w:ascii="Times New Roman" w:hAnsi="Times New Roman"/>
                <w:sz w:val="21"/>
                <w:szCs w:val="21"/>
              </w:rPr>
            </w:pPr>
            <w:r>
              <w:rPr>
                <w:color w:val="0000FF"/>
                <w:sz w:val="21"/>
                <w:szCs w:val="21"/>
                <w:u w:val="single"/>
                <w:shd w:val="clear" w:color="auto" w:fill="FFFFFF"/>
              </w:rPr>
              <w:t xml:space="preserve">Телефоны: </w:t>
            </w:r>
            <w:r>
              <w:rPr>
                <w:rFonts w:ascii="Times New Roman" w:hAnsi="Times New Roman"/>
                <w:sz w:val="21"/>
                <w:szCs w:val="21"/>
              </w:rPr>
              <w:t>+7 (473) 206-82-82</w:t>
            </w:r>
          </w:p>
          <w:p w14:paraId="26DE89F7">
            <w:pPr>
              <w:widowControl w:val="0"/>
              <w:rPr>
                <w:sz w:val="21"/>
                <w:szCs w:val="21"/>
              </w:rPr>
            </w:pPr>
            <w:r>
              <w:rPr>
                <w:sz w:val="21"/>
                <w:szCs w:val="21"/>
              </w:rPr>
              <w:t>+7 (473) 206-82-92</w:t>
            </w:r>
          </w:p>
          <w:p w14:paraId="5FC777CE">
            <w:pPr>
              <w:widowControl w:val="0"/>
              <w:rPr>
                <w:sz w:val="21"/>
                <w:szCs w:val="21"/>
              </w:rPr>
            </w:pPr>
          </w:p>
          <w:p w14:paraId="2B9D20D2">
            <w:pPr>
              <w:widowControl w:val="0"/>
              <w:rPr>
                <w:sz w:val="21"/>
                <w:szCs w:val="21"/>
              </w:rPr>
            </w:pPr>
            <w:r>
              <w:rPr>
                <w:sz w:val="21"/>
                <w:szCs w:val="21"/>
              </w:rPr>
              <w:t>Генеральный директор</w:t>
            </w:r>
          </w:p>
          <w:p w14:paraId="1521E966">
            <w:pPr>
              <w:widowControl w:val="0"/>
              <w:rPr>
                <w:sz w:val="21"/>
                <w:szCs w:val="21"/>
              </w:rPr>
            </w:pPr>
          </w:p>
          <w:p w14:paraId="3CBD51E8">
            <w:pPr>
              <w:widowControl w:val="0"/>
              <w:rPr>
                <w:b/>
                <w:sz w:val="21"/>
                <w:szCs w:val="21"/>
              </w:rPr>
            </w:pPr>
            <w:r>
              <w:rPr>
                <w:sz w:val="21"/>
                <w:szCs w:val="21"/>
              </w:rPr>
              <w:t>____________________А.Ю. Юрасова</w:t>
            </w:r>
          </w:p>
        </w:tc>
      </w:tr>
    </w:tbl>
    <w:p w14:paraId="05B32B7E">
      <w:pPr>
        <w:widowControl w:val="0"/>
        <w:tabs>
          <w:tab w:val="left" w:pos="851"/>
        </w:tabs>
        <w:jc w:val="right"/>
        <w:rPr>
          <w:b/>
          <w:sz w:val="21"/>
          <w:szCs w:val="21"/>
        </w:rPr>
      </w:pPr>
    </w:p>
    <w:p w14:paraId="7BCB84E6">
      <w:pPr>
        <w:rPr>
          <w:b/>
          <w:sz w:val="21"/>
          <w:szCs w:val="21"/>
        </w:rPr>
      </w:pPr>
      <w:r>
        <w:rPr>
          <w:b/>
          <w:sz w:val="21"/>
          <w:szCs w:val="21"/>
        </w:rPr>
        <w:br w:type="page"/>
      </w:r>
    </w:p>
    <w:p w14:paraId="379067FC">
      <w:pPr>
        <w:widowControl w:val="0"/>
        <w:tabs>
          <w:tab w:val="left" w:pos="851"/>
        </w:tabs>
        <w:jc w:val="right"/>
        <w:rPr>
          <w:b/>
          <w:sz w:val="21"/>
          <w:szCs w:val="21"/>
        </w:rPr>
      </w:pPr>
      <w:r>
        <w:rPr>
          <w:b/>
          <w:sz w:val="21"/>
          <w:szCs w:val="21"/>
        </w:rPr>
        <w:t>Приложение № 1</w:t>
      </w:r>
    </w:p>
    <w:p w14:paraId="39F201DE">
      <w:pPr>
        <w:widowControl w:val="0"/>
        <w:tabs>
          <w:tab w:val="left" w:pos="851"/>
        </w:tabs>
        <w:jc w:val="right"/>
        <w:rPr>
          <w:sz w:val="21"/>
          <w:szCs w:val="21"/>
        </w:rPr>
      </w:pPr>
      <w:r>
        <w:rPr>
          <w:sz w:val="21"/>
          <w:szCs w:val="21"/>
        </w:rPr>
        <w:t>к Договору поставки</w:t>
      </w:r>
      <w:r>
        <w:rPr>
          <w:spacing w:val="-3"/>
          <w:sz w:val="21"/>
          <w:szCs w:val="21"/>
        </w:rPr>
        <w:t xml:space="preserve"> </w:t>
      </w:r>
      <w:r>
        <w:rPr>
          <w:sz w:val="21"/>
          <w:szCs w:val="21"/>
        </w:rPr>
        <w:t>№_________ от __.__ 202_ года</w:t>
      </w:r>
    </w:p>
    <w:p w14:paraId="4E6ACCD5">
      <w:pPr>
        <w:widowControl w:val="0"/>
        <w:tabs>
          <w:tab w:val="left" w:pos="851"/>
        </w:tabs>
        <w:jc w:val="right"/>
        <w:rPr>
          <w:sz w:val="21"/>
          <w:szCs w:val="21"/>
        </w:rPr>
      </w:pPr>
    </w:p>
    <w:p w14:paraId="3960CF2E">
      <w:pPr>
        <w:jc w:val="center"/>
        <w:rPr>
          <w:b/>
          <w:spacing w:val="60"/>
          <w:szCs w:val="24"/>
        </w:rPr>
      </w:pPr>
      <w:r>
        <w:rPr>
          <w:b/>
          <w:spacing w:val="60"/>
          <w:szCs w:val="24"/>
        </w:rPr>
        <w:t>СПЕЦИФИКАЦИЯ</w:t>
      </w:r>
    </w:p>
    <w:p w14:paraId="51F8F8D1">
      <w:pPr>
        <w:jc w:val="center"/>
        <w:rPr>
          <w:bCs/>
          <w:i/>
          <w:iCs/>
          <w:color w:val="FF0000"/>
          <w:szCs w:val="24"/>
        </w:rPr>
      </w:pPr>
      <w:r>
        <w:rPr>
          <w:bCs/>
          <w:i/>
          <w:iCs/>
          <w:color w:val="FF0000"/>
          <w:szCs w:val="24"/>
        </w:rPr>
        <w:t>*заполняется по результатам закупки</w:t>
      </w:r>
    </w:p>
    <w:p w14:paraId="576E5359">
      <w:pPr>
        <w:jc w:val="center"/>
        <w:rPr>
          <w:b/>
          <w:spacing w:val="60"/>
          <w:szCs w:val="24"/>
        </w:rPr>
      </w:pPr>
    </w:p>
    <w:tbl>
      <w:tblPr>
        <w:tblStyle w:val="8"/>
        <w:tblW w:w="5000" w:type="pct"/>
        <w:tblInd w:w="137" w:type="dxa"/>
        <w:tblLayout w:type="fixed"/>
        <w:tblCellMar>
          <w:top w:w="0" w:type="dxa"/>
          <w:left w:w="108" w:type="dxa"/>
          <w:bottom w:w="0" w:type="dxa"/>
          <w:right w:w="108" w:type="dxa"/>
        </w:tblCellMar>
      </w:tblPr>
      <w:tblGrid>
        <w:gridCol w:w="602"/>
        <w:gridCol w:w="1358"/>
        <w:gridCol w:w="3347"/>
        <w:gridCol w:w="934"/>
        <w:gridCol w:w="1113"/>
        <w:gridCol w:w="814"/>
        <w:gridCol w:w="906"/>
        <w:gridCol w:w="1204"/>
      </w:tblGrid>
      <w:tr w14:paraId="2EF159DB">
        <w:tblPrEx>
          <w:tblCellMar>
            <w:top w:w="0" w:type="dxa"/>
            <w:left w:w="108" w:type="dxa"/>
            <w:bottom w:w="0" w:type="dxa"/>
            <w:right w:w="108" w:type="dxa"/>
          </w:tblCellMar>
        </w:tblPrEx>
        <w:trPr>
          <w:trHeight w:val="1012" w:hRule="atLeast"/>
        </w:trPr>
        <w:tc>
          <w:tcPr>
            <w:tcW w:w="589" w:type="dxa"/>
            <w:tcBorders>
              <w:top w:val="single" w:color="auto" w:sz="4" w:space="0"/>
              <w:left w:val="single" w:color="auto" w:sz="4" w:space="0"/>
              <w:bottom w:val="single" w:color="auto" w:sz="4" w:space="0"/>
              <w:right w:val="single" w:color="auto" w:sz="4" w:space="0"/>
            </w:tcBorders>
          </w:tcPr>
          <w:p w14:paraId="3E806CFA">
            <w:pPr>
              <w:jc w:val="center"/>
              <w:rPr>
                <w:sz w:val="23"/>
                <w:szCs w:val="23"/>
              </w:rPr>
            </w:pPr>
            <w:r>
              <w:rPr>
                <w:sz w:val="23"/>
                <w:szCs w:val="23"/>
              </w:rPr>
              <w:t>№ п/п</w:t>
            </w:r>
          </w:p>
        </w:tc>
        <w:tc>
          <w:tcPr>
            <w:tcW w:w="1328" w:type="dxa"/>
            <w:tcBorders>
              <w:top w:val="single" w:color="auto" w:sz="4" w:space="0"/>
              <w:left w:val="single" w:color="auto" w:sz="4" w:space="0"/>
              <w:bottom w:val="single" w:color="auto" w:sz="4" w:space="0"/>
              <w:right w:val="single" w:color="auto" w:sz="4" w:space="0"/>
            </w:tcBorders>
          </w:tcPr>
          <w:p w14:paraId="5FE17F05">
            <w:pPr>
              <w:jc w:val="center"/>
              <w:rPr>
                <w:sz w:val="23"/>
                <w:szCs w:val="23"/>
              </w:rPr>
            </w:pPr>
            <w:r>
              <w:rPr>
                <w:sz w:val="23"/>
                <w:szCs w:val="23"/>
              </w:rPr>
              <w:t>Наименование товара (товарный знак (при наличии)</w:t>
            </w:r>
          </w:p>
        </w:tc>
        <w:tc>
          <w:tcPr>
            <w:tcW w:w="3273" w:type="dxa"/>
            <w:tcBorders>
              <w:top w:val="single" w:color="auto" w:sz="4" w:space="0"/>
              <w:left w:val="single" w:color="auto" w:sz="4" w:space="0"/>
              <w:bottom w:val="single" w:color="auto" w:sz="4" w:space="0"/>
              <w:right w:val="single" w:color="auto" w:sz="4" w:space="0"/>
            </w:tcBorders>
          </w:tcPr>
          <w:p w14:paraId="7BCC7A76">
            <w:pPr>
              <w:jc w:val="center"/>
              <w:rPr>
                <w:sz w:val="23"/>
                <w:szCs w:val="23"/>
              </w:rPr>
            </w:pPr>
            <w:r>
              <w:rPr>
                <w:sz w:val="23"/>
                <w:szCs w:val="23"/>
              </w:rPr>
              <w:t>Техническое задание</w:t>
            </w:r>
          </w:p>
          <w:p w14:paraId="6E82FDFF">
            <w:pPr>
              <w:jc w:val="center"/>
              <w:rPr>
                <w:sz w:val="23"/>
                <w:szCs w:val="23"/>
              </w:rPr>
            </w:pPr>
            <w:r>
              <w:rPr>
                <w:sz w:val="23"/>
                <w:szCs w:val="23"/>
              </w:rPr>
              <w:t xml:space="preserve">(технические характеристики товара) </w:t>
            </w:r>
          </w:p>
        </w:tc>
        <w:tc>
          <w:tcPr>
            <w:tcW w:w="913" w:type="dxa"/>
            <w:tcBorders>
              <w:top w:val="single" w:color="auto" w:sz="4" w:space="0"/>
              <w:left w:val="single" w:color="auto" w:sz="4" w:space="0"/>
              <w:bottom w:val="single" w:color="auto" w:sz="4" w:space="0"/>
              <w:right w:val="single" w:color="auto" w:sz="4" w:space="0"/>
            </w:tcBorders>
          </w:tcPr>
          <w:p w14:paraId="325706AA">
            <w:pPr>
              <w:jc w:val="center"/>
              <w:rPr>
                <w:sz w:val="23"/>
                <w:szCs w:val="23"/>
              </w:rPr>
            </w:pPr>
            <w:r>
              <w:rPr>
                <w:sz w:val="23"/>
                <w:szCs w:val="23"/>
              </w:rPr>
              <w:t>Единица измерения</w:t>
            </w:r>
          </w:p>
        </w:tc>
        <w:tc>
          <w:tcPr>
            <w:tcW w:w="1089" w:type="dxa"/>
            <w:tcBorders>
              <w:top w:val="single" w:color="auto" w:sz="4" w:space="0"/>
              <w:left w:val="single" w:color="auto" w:sz="4" w:space="0"/>
              <w:bottom w:val="single" w:color="auto" w:sz="4" w:space="0"/>
              <w:right w:val="single" w:color="auto" w:sz="4" w:space="0"/>
            </w:tcBorders>
          </w:tcPr>
          <w:p w14:paraId="4FA7784E">
            <w:pPr>
              <w:jc w:val="center"/>
              <w:rPr>
                <w:sz w:val="23"/>
                <w:szCs w:val="23"/>
              </w:rPr>
            </w:pPr>
            <w:r>
              <w:rPr>
                <w:sz w:val="23"/>
                <w:szCs w:val="23"/>
              </w:rPr>
              <w:t>Количество, в ед.</w:t>
            </w:r>
          </w:p>
        </w:tc>
        <w:tc>
          <w:tcPr>
            <w:tcW w:w="796" w:type="dxa"/>
            <w:tcBorders>
              <w:top w:val="single" w:color="auto" w:sz="4" w:space="0"/>
              <w:left w:val="single" w:color="auto" w:sz="4" w:space="0"/>
              <w:bottom w:val="single" w:color="auto" w:sz="4" w:space="0"/>
              <w:right w:val="single" w:color="auto" w:sz="4" w:space="0"/>
            </w:tcBorders>
          </w:tcPr>
          <w:p w14:paraId="66BF2C4A">
            <w:pPr>
              <w:jc w:val="center"/>
              <w:rPr>
                <w:sz w:val="23"/>
                <w:szCs w:val="23"/>
              </w:rPr>
            </w:pPr>
            <w:r>
              <w:rPr>
                <w:sz w:val="23"/>
                <w:szCs w:val="23"/>
              </w:rPr>
              <w:t>Цена за ед., руб.</w:t>
            </w:r>
          </w:p>
        </w:tc>
        <w:tc>
          <w:tcPr>
            <w:tcW w:w="886" w:type="dxa"/>
            <w:tcBorders>
              <w:top w:val="single" w:color="auto" w:sz="4" w:space="0"/>
              <w:left w:val="nil"/>
              <w:bottom w:val="single" w:color="auto" w:sz="4" w:space="0"/>
              <w:right w:val="single" w:color="auto" w:sz="4" w:space="0"/>
            </w:tcBorders>
          </w:tcPr>
          <w:p w14:paraId="4F12F88F">
            <w:pPr>
              <w:jc w:val="center"/>
              <w:rPr>
                <w:sz w:val="23"/>
                <w:szCs w:val="23"/>
              </w:rPr>
            </w:pPr>
            <w:r>
              <w:rPr>
                <w:sz w:val="23"/>
                <w:szCs w:val="23"/>
              </w:rPr>
              <w:t>Ставка НДС, %</w:t>
            </w:r>
          </w:p>
        </w:tc>
        <w:tc>
          <w:tcPr>
            <w:tcW w:w="1178" w:type="dxa"/>
            <w:tcBorders>
              <w:top w:val="single" w:color="auto" w:sz="4" w:space="0"/>
              <w:left w:val="single" w:color="auto" w:sz="4" w:space="0"/>
              <w:bottom w:val="single" w:color="auto" w:sz="4" w:space="0"/>
              <w:right w:val="single" w:color="auto" w:sz="4" w:space="0"/>
            </w:tcBorders>
          </w:tcPr>
          <w:p w14:paraId="25D67273">
            <w:pPr>
              <w:jc w:val="center"/>
              <w:rPr>
                <w:sz w:val="23"/>
                <w:szCs w:val="23"/>
              </w:rPr>
            </w:pPr>
            <w:r>
              <w:rPr>
                <w:sz w:val="23"/>
                <w:szCs w:val="23"/>
              </w:rPr>
              <w:t>Стоимость с НДС/без НДС, руб.</w:t>
            </w:r>
          </w:p>
        </w:tc>
      </w:tr>
      <w:tr w14:paraId="3634AEE0">
        <w:tblPrEx>
          <w:tblCellMar>
            <w:top w:w="0" w:type="dxa"/>
            <w:left w:w="108" w:type="dxa"/>
            <w:bottom w:w="0" w:type="dxa"/>
            <w:right w:w="108" w:type="dxa"/>
          </w:tblCellMar>
        </w:tblPrEx>
        <w:trPr>
          <w:trHeight w:val="300" w:hRule="atLeast"/>
        </w:trPr>
        <w:tc>
          <w:tcPr>
            <w:tcW w:w="589" w:type="dxa"/>
            <w:tcBorders>
              <w:top w:val="nil"/>
              <w:left w:val="single" w:color="auto" w:sz="4" w:space="0"/>
              <w:bottom w:val="single" w:color="auto" w:sz="4" w:space="0"/>
              <w:right w:val="single" w:color="auto" w:sz="4" w:space="0"/>
            </w:tcBorders>
          </w:tcPr>
          <w:p w14:paraId="7C10E33F">
            <w:pPr>
              <w:jc w:val="center"/>
              <w:rPr>
                <w:sz w:val="23"/>
                <w:szCs w:val="23"/>
              </w:rPr>
            </w:pPr>
            <w:r>
              <w:rPr>
                <w:sz w:val="23"/>
                <w:szCs w:val="23"/>
              </w:rPr>
              <w:t>1</w:t>
            </w:r>
          </w:p>
        </w:tc>
        <w:tc>
          <w:tcPr>
            <w:tcW w:w="1328" w:type="dxa"/>
            <w:tcBorders>
              <w:top w:val="single" w:color="auto" w:sz="4" w:space="0"/>
              <w:left w:val="nil"/>
              <w:bottom w:val="single" w:color="auto" w:sz="4" w:space="0"/>
              <w:right w:val="single" w:color="auto" w:sz="4" w:space="0"/>
            </w:tcBorders>
          </w:tcPr>
          <w:p w14:paraId="2EEAED09">
            <w:pPr>
              <w:rPr>
                <w:sz w:val="23"/>
                <w:szCs w:val="23"/>
              </w:rPr>
            </w:pPr>
            <w:r>
              <w:rPr>
                <w:sz w:val="23"/>
                <w:szCs w:val="23"/>
              </w:rPr>
              <w:t> </w:t>
            </w:r>
          </w:p>
        </w:tc>
        <w:tc>
          <w:tcPr>
            <w:tcW w:w="3273" w:type="dxa"/>
            <w:tcBorders>
              <w:top w:val="single" w:color="auto" w:sz="4" w:space="0"/>
              <w:left w:val="single" w:color="auto" w:sz="4" w:space="0"/>
              <w:bottom w:val="single" w:color="auto" w:sz="4" w:space="0"/>
              <w:right w:val="single" w:color="auto" w:sz="4" w:space="0"/>
            </w:tcBorders>
          </w:tcPr>
          <w:p w14:paraId="23F0EE97">
            <w:pPr>
              <w:jc w:val="both"/>
              <w:rPr>
                <w:sz w:val="23"/>
                <w:szCs w:val="23"/>
              </w:rPr>
            </w:pPr>
            <w:r>
              <w:rPr>
                <w:sz w:val="23"/>
                <w:szCs w:val="23"/>
              </w:rPr>
              <w:t> </w:t>
            </w:r>
          </w:p>
        </w:tc>
        <w:tc>
          <w:tcPr>
            <w:tcW w:w="913" w:type="dxa"/>
            <w:tcBorders>
              <w:top w:val="single" w:color="auto" w:sz="4" w:space="0"/>
              <w:left w:val="single" w:color="auto" w:sz="4" w:space="0"/>
              <w:bottom w:val="single" w:color="auto" w:sz="4" w:space="0"/>
              <w:right w:val="single" w:color="auto" w:sz="4" w:space="0"/>
            </w:tcBorders>
          </w:tcPr>
          <w:p w14:paraId="6CFDD352">
            <w:pPr>
              <w:jc w:val="center"/>
              <w:rPr>
                <w:sz w:val="23"/>
                <w:szCs w:val="23"/>
              </w:rPr>
            </w:pPr>
            <w:r>
              <w:rPr>
                <w:sz w:val="23"/>
                <w:szCs w:val="23"/>
              </w:rPr>
              <w:t> </w:t>
            </w:r>
          </w:p>
        </w:tc>
        <w:tc>
          <w:tcPr>
            <w:tcW w:w="1089" w:type="dxa"/>
            <w:tcBorders>
              <w:top w:val="single" w:color="auto" w:sz="4" w:space="0"/>
              <w:left w:val="single" w:color="auto" w:sz="4" w:space="0"/>
              <w:bottom w:val="single" w:color="auto" w:sz="4" w:space="0"/>
              <w:right w:val="single" w:color="auto" w:sz="4" w:space="0"/>
            </w:tcBorders>
          </w:tcPr>
          <w:p w14:paraId="60A0E108">
            <w:pPr>
              <w:jc w:val="center"/>
              <w:rPr>
                <w:sz w:val="23"/>
                <w:szCs w:val="23"/>
              </w:rPr>
            </w:pPr>
            <w:r>
              <w:rPr>
                <w:sz w:val="23"/>
                <w:szCs w:val="23"/>
              </w:rPr>
              <w:t> </w:t>
            </w:r>
          </w:p>
        </w:tc>
        <w:tc>
          <w:tcPr>
            <w:tcW w:w="796" w:type="dxa"/>
            <w:tcBorders>
              <w:top w:val="single" w:color="auto" w:sz="4" w:space="0"/>
              <w:left w:val="single" w:color="auto" w:sz="4" w:space="0"/>
              <w:bottom w:val="single" w:color="auto" w:sz="4" w:space="0"/>
              <w:right w:val="single" w:color="auto" w:sz="4" w:space="0"/>
            </w:tcBorders>
          </w:tcPr>
          <w:p w14:paraId="16E5CDA5">
            <w:pPr>
              <w:jc w:val="right"/>
              <w:rPr>
                <w:sz w:val="23"/>
                <w:szCs w:val="23"/>
              </w:rPr>
            </w:pPr>
            <w:r>
              <w:rPr>
                <w:sz w:val="23"/>
                <w:szCs w:val="23"/>
              </w:rPr>
              <w:t> </w:t>
            </w:r>
          </w:p>
        </w:tc>
        <w:tc>
          <w:tcPr>
            <w:tcW w:w="886" w:type="dxa"/>
            <w:tcBorders>
              <w:top w:val="single" w:color="auto" w:sz="4" w:space="0"/>
              <w:left w:val="single" w:color="auto" w:sz="4" w:space="0"/>
              <w:bottom w:val="single" w:color="auto" w:sz="4" w:space="0"/>
              <w:right w:val="single" w:color="auto" w:sz="4" w:space="0"/>
            </w:tcBorders>
          </w:tcPr>
          <w:p w14:paraId="090EEF56">
            <w:pPr>
              <w:jc w:val="center"/>
              <w:rPr>
                <w:sz w:val="23"/>
                <w:szCs w:val="23"/>
              </w:rPr>
            </w:pPr>
          </w:p>
        </w:tc>
        <w:tc>
          <w:tcPr>
            <w:tcW w:w="1178" w:type="dxa"/>
            <w:tcBorders>
              <w:top w:val="single" w:color="auto" w:sz="4" w:space="0"/>
              <w:left w:val="single" w:color="auto" w:sz="4" w:space="0"/>
              <w:bottom w:val="single" w:color="auto" w:sz="4" w:space="0"/>
              <w:right w:val="single" w:color="auto" w:sz="4" w:space="0"/>
            </w:tcBorders>
          </w:tcPr>
          <w:p w14:paraId="1D007928">
            <w:pPr>
              <w:jc w:val="right"/>
              <w:rPr>
                <w:sz w:val="23"/>
                <w:szCs w:val="23"/>
              </w:rPr>
            </w:pPr>
            <w:r>
              <w:rPr>
                <w:sz w:val="23"/>
                <w:szCs w:val="23"/>
              </w:rPr>
              <w:t> </w:t>
            </w:r>
          </w:p>
        </w:tc>
      </w:tr>
      <w:tr w14:paraId="449AD2B5">
        <w:tblPrEx>
          <w:tblCellMar>
            <w:top w:w="0" w:type="dxa"/>
            <w:left w:w="108" w:type="dxa"/>
            <w:bottom w:w="0" w:type="dxa"/>
            <w:right w:w="108" w:type="dxa"/>
          </w:tblCellMar>
        </w:tblPrEx>
        <w:trPr>
          <w:trHeight w:val="300" w:hRule="atLeast"/>
        </w:trPr>
        <w:tc>
          <w:tcPr>
            <w:tcW w:w="589" w:type="dxa"/>
            <w:tcBorders>
              <w:top w:val="nil"/>
              <w:left w:val="single" w:color="auto" w:sz="4" w:space="0"/>
              <w:bottom w:val="single" w:color="auto" w:sz="4" w:space="0"/>
              <w:right w:val="single" w:color="auto" w:sz="4" w:space="0"/>
            </w:tcBorders>
          </w:tcPr>
          <w:p w14:paraId="1E259BD2">
            <w:pPr>
              <w:jc w:val="center"/>
              <w:rPr>
                <w:sz w:val="23"/>
                <w:szCs w:val="23"/>
              </w:rPr>
            </w:pPr>
            <w:r>
              <w:rPr>
                <w:sz w:val="23"/>
                <w:szCs w:val="23"/>
              </w:rPr>
              <w:t>2</w:t>
            </w:r>
          </w:p>
        </w:tc>
        <w:tc>
          <w:tcPr>
            <w:tcW w:w="1328" w:type="dxa"/>
            <w:tcBorders>
              <w:top w:val="single" w:color="auto" w:sz="4" w:space="0"/>
              <w:left w:val="nil"/>
              <w:bottom w:val="single" w:color="auto" w:sz="4" w:space="0"/>
              <w:right w:val="single" w:color="auto" w:sz="4" w:space="0"/>
            </w:tcBorders>
          </w:tcPr>
          <w:p w14:paraId="23D795F7">
            <w:pPr>
              <w:rPr>
                <w:sz w:val="23"/>
                <w:szCs w:val="23"/>
              </w:rPr>
            </w:pPr>
            <w:r>
              <w:rPr>
                <w:sz w:val="23"/>
                <w:szCs w:val="23"/>
              </w:rPr>
              <w:t> </w:t>
            </w:r>
          </w:p>
        </w:tc>
        <w:tc>
          <w:tcPr>
            <w:tcW w:w="3273" w:type="dxa"/>
            <w:tcBorders>
              <w:top w:val="single" w:color="auto" w:sz="4" w:space="0"/>
              <w:left w:val="single" w:color="auto" w:sz="4" w:space="0"/>
              <w:bottom w:val="single" w:color="auto" w:sz="4" w:space="0"/>
              <w:right w:val="single" w:color="auto" w:sz="4" w:space="0"/>
            </w:tcBorders>
          </w:tcPr>
          <w:p w14:paraId="59BACB13">
            <w:pPr>
              <w:jc w:val="both"/>
              <w:rPr>
                <w:sz w:val="23"/>
                <w:szCs w:val="23"/>
              </w:rPr>
            </w:pPr>
            <w:r>
              <w:rPr>
                <w:sz w:val="23"/>
                <w:szCs w:val="23"/>
              </w:rPr>
              <w:t> </w:t>
            </w:r>
          </w:p>
        </w:tc>
        <w:tc>
          <w:tcPr>
            <w:tcW w:w="913" w:type="dxa"/>
            <w:tcBorders>
              <w:top w:val="single" w:color="auto" w:sz="4" w:space="0"/>
              <w:left w:val="single" w:color="auto" w:sz="4" w:space="0"/>
              <w:bottom w:val="single" w:color="auto" w:sz="4" w:space="0"/>
              <w:right w:val="single" w:color="auto" w:sz="4" w:space="0"/>
            </w:tcBorders>
          </w:tcPr>
          <w:p w14:paraId="6E0D7B08">
            <w:pPr>
              <w:jc w:val="center"/>
              <w:rPr>
                <w:sz w:val="23"/>
                <w:szCs w:val="23"/>
              </w:rPr>
            </w:pPr>
            <w:r>
              <w:rPr>
                <w:sz w:val="23"/>
                <w:szCs w:val="23"/>
              </w:rPr>
              <w:t> </w:t>
            </w:r>
          </w:p>
        </w:tc>
        <w:tc>
          <w:tcPr>
            <w:tcW w:w="1089" w:type="dxa"/>
            <w:tcBorders>
              <w:top w:val="single" w:color="auto" w:sz="4" w:space="0"/>
              <w:left w:val="single" w:color="auto" w:sz="4" w:space="0"/>
              <w:bottom w:val="single" w:color="auto" w:sz="4" w:space="0"/>
              <w:right w:val="single" w:color="auto" w:sz="4" w:space="0"/>
            </w:tcBorders>
          </w:tcPr>
          <w:p w14:paraId="1635C7A9">
            <w:pPr>
              <w:jc w:val="center"/>
              <w:rPr>
                <w:sz w:val="23"/>
                <w:szCs w:val="23"/>
              </w:rPr>
            </w:pPr>
            <w:r>
              <w:rPr>
                <w:sz w:val="23"/>
                <w:szCs w:val="23"/>
              </w:rPr>
              <w:t> </w:t>
            </w:r>
          </w:p>
        </w:tc>
        <w:tc>
          <w:tcPr>
            <w:tcW w:w="796" w:type="dxa"/>
            <w:tcBorders>
              <w:top w:val="single" w:color="auto" w:sz="4" w:space="0"/>
              <w:left w:val="single" w:color="auto" w:sz="4" w:space="0"/>
              <w:bottom w:val="single" w:color="auto" w:sz="4" w:space="0"/>
              <w:right w:val="single" w:color="auto" w:sz="4" w:space="0"/>
            </w:tcBorders>
          </w:tcPr>
          <w:p w14:paraId="28396BA6">
            <w:pPr>
              <w:jc w:val="right"/>
              <w:rPr>
                <w:sz w:val="23"/>
                <w:szCs w:val="23"/>
              </w:rPr>
            </w:pPr>
            <w:r>
              <w:rPr>
                <w:sz w:val="23"/>
                <w:szCs w:val="23"/>
              </w:rPr>
              <w:t> </w:t>
            </w:r>
          </w:p>
        </w:tc>
        <w:tc>
          <w:tcPr>
            <w:tcW w:w="886" w:type="dxa"/>
            <w:tcBorders>
              <w:top w:val="single" w:color="auto" w:sz="4" w:space="0"/>
              <w:left w:val="single" w:color="auto" w:sz="4" w:space="0"/>
              <w:bottom w:val="single" w:color="auto" w:sz="4" w:space="0"/>
              <w:right w:val="single" w:color="auto" w:sz="4" w:space="0"/>
            </w:tcBorders>
          </w:tcPr>
          <w:p w14:paraId="3DE37D32">
            <w:pPr>
              <w:jc w:val="center"/>
              <w:rPr>
                <w:sz w:val="23"/>
                <w:szCs w:val="23"/>
              </w:rPr>
            </w:pPr>
          </w:p>
        </w:tc>
        <w:tc>
          <w:tcPr>
            <w:tcW w:w="1178" w:type="dxa"/>
            <w:tcBorders>
              <w:top w:val="single" w:color="auto" w:sz="4" w:space="0"/>
              <w:left w:val="single" w:color="auto" w:sz="4" w:space="0"/>
              <w:bottom w:val="single" w:color="auto" w:sz="4" w:space="0"/>
              <w:right w:val="single" w:color="auto" w:sz="4" w:space="0"/>
            </w:tcBorders>
          </w:tcPr>
          <w:p w14:paraId="5B46C25A">
            <w:pPr>
              <w:jc w:val="right"/>
              <w:rPr>
                <w:sz w:val="23"/>
                <w:szCs w:val="23"/>
              </w:rPr>
            </w:pPr>
            <w:r>
              <w:rPr>
                <w:sz w:val="23"/>
                <w:szCs w:val="23"/>
              </w:rPr>
              <w:t> </w:t>
            </w:r>
          </w:p>
        </w:tc>
      </w:tr>
      <w:tr w14:paraId="3F234292">
        <w:tblPrEx>
          <w:tblCellMar>
            <w:top w:w="0" w:type="dxa"/>
            <w:left w:w="108" w:type="dxa"/>
            <w:bottom w:w="0" w:type="dxa"/>
            <w:right w:w="108" w:type="dxa"/>
          </w:tblCellMar>
        </w:tblPrEx>
        <w:trPr>
          <w:trHeight w:val="300" w:hRule="atLeast"/>
        </w:trPr>
        <w:tc>
          <w:tcPr>
            <w:tcW w:w="589" w:type="dxa"/>
            <w:tcBorders>
              <w:top w:val="nil"/>
              <w:left w:val="single" w:color="auto" w:sz="4" w:space="0"/>
              <w:bottom w:val="single" w:color="auto" w:sz="4" w:space="0"/>
              <w:right w:val="single" w:color="auto" w:sz="4" w:space="0"/>
            </w:tcBorders>
          </w:tcPr>
          <w:p w14:paraId="029245B2">
            <w:pPr>
              <w:jc w:val="center"/>
              <w:rPr>
                <w:sz w:val="23"/>
                <w:szCs w:val="23"/>
              </w:rPr>
            </w:pPr>
            <w:r>
              <w:rPr>
                <w:sz w:val="23"/>
                <w:szCs w:val="23"/>
              </w:rPr>
              <w:t>3…</w:t>
            </w:r>
          </w:p>
        </w:tc>
        <w:tc>
          <w:tcPr>
            <w:tcW w:w="1328" w:type="dxa"/>
            <w:tcBorders>
              <w:top w:val="single" w:color="auto" w:sz="4" w:space="0"/>
              <w:left w:val="nil"/>
              <w:bottom w:val="single" w:color="auto" w:sz="4" w:space="0"/>
              <w:right w:val="single" w:color="auto" w:sz="4" w:space="0"/>
            </w:tcBorders>
          </w:tcPr>
          <w:p w14:paraId="40886C45">
            <w:pPr>
              <w:rPr>
                <w:sz w:val="23"/>
                <w:szCs w:val="23"/>
              </w:rPr>
            </w:pPr>
            <w:r>
              <w:rPr>
                <w:sz w:val="23"/>
                <w:szCs w:val="23"/>
              </w:rPr>
              <w:t> </w:t>
            </w:r>
          </w:p>
        </w:tc>
        <w:tc>
          <w:tcPr>
            <w:tcW w:w="3273" w:type="dxa"/>
            <w:tcBorders>
              <w:top w:val="single" w:color="auto" w:sz="4" w:space="0"/>
              <w:left w:val="single" w:color="auto" w:sz="4" w:space="0"/>
              <w:bottom w:val="single" w:color="auto" w:sz="4" w:space="0"/>
              <w:right w:val="single" w:color="auto" w:sz="4" w:space="0"/>
            </w:tcBorders>
          </w:tcPr>
          <w:p w14:paraId="5A782A3F">
            <w:pPr>
              <w:jc w:val="both"/>
              <w:rPr>
                <w:sz w:val="23"/>
                <w:szCs w:val="23"/>
              </w:rPr>
            </w:pPr>
            <w:r>
              <w:rPr>
                <w:sz w:val="23"/>
                <w:szCs w:val="23"/>
              </w:rPr>
              <w:t> </w:t>
            </w:r>
          </w:p>
        </w:tc>
        <w:tc>
          <w:tcPr>
            <w:tcW w:w="913" w:type="dxa"/>
            <w:tcBorders>
              <w:top w:val="single" w:color="auto" w:sz="4" w:space="0"/>
              <w:left w:val="single" w:color="auto" w:sz="4" w:space="0"/>
              <w:bottom w:val="single" w:color="auto" w:sz="4" w:space="0"/>
              <w:right w:val="single" w:color="auto" w:sz="4" w:space="0"/>
            </w:tcBorders>
          </w:tcPr>
          <w:p w14:paraId="4EF9AC6B">
            <w:pPr>
              <w:jc w:val="center"/>
              <w:rPr>
                <w:sz w:val="23"/>
                <w:szCs w:val="23"/>
              </w:rPr>
            </w:pPr>
            <w:r>
              <w:rPr>
                <w:sz w:val="23"/>
                <w:szCs w:val="23"/>
              </w:rPr>
              <w:t> </w:t>
            </w:r>
          </w:p>
        </w:tc>
        <w:tc>
          <w:tcPr>
            <w:tcW w:w="1089" w:type="dxa"/>
            <w:tcBorders>
              <w:top w:val="single" w:color="auto" w:sz="4" w:space="0"/>
              <w:left w:val="single" w:color="auto" w:sz="4" w:space="0"/>
              <w:bottom w:val="single" w:color="auto" w:sz="4" w:space="0"/>
              <w:right w:val="single" w:color="auto" w:sz="4" w:space="0"/>
            </w:tcBorders>
          </w:tcPr>
          <w:p w14:paraId="5B587689">
            <w:pPr>
              <w:jc w:val="center"/>
              <w:rPr>
                <w:sz w:val="23"/>
                <w:szCs w:val="23"/>
              </w:rPr>
            </w:pPr>
            <w:r>
              <w:rPr>
                <w:sz w:val="23"/>
                <w:szCs w:val="23"/>
              </w:rPr>
              <w:t> </w:t>
            </w:r>
          </w:p>
        </w:tc>
        <w:tc>
          <w:tcPr>
            <w:tcW w:w="796" w:type="dxa"/>
            <w:tcBorders>
              <w:top w:val="single" w:color="auto" w:sz="4" w:space="0"/>
              <w:left w:val="single" w:color="auto" w:sz="4" w:space="0"/>
              <w:bottom w:val="single" w:color="auto" w:sz="4" w:space="0"/>
              <w:right w:val="single" w:color="auto" w:sz="4" w:space="0"/>
            </w:tcBorders>
          </w:tcPr>
          <w:p w14:paraId="6BC854A9">
            <w:pPr>
              <w:jc w:val="right"/>
              <w:rPr>
                <w:sz w:val="23"/>
                <w:szCs w:val="23"/>
              </w:rPr>
            </w:pPr>
            <w:r>
              <w:rPr>
                <w:sz w:val="23"/>
                <w:szCs w:val="23"/>
              </w:rPr>
              <w:t> </w:t>
            </w:r>
          </w:p>
        </w:tc>
        <w:tc>
          <w:tcPr>
            <w:tcW w:w="886" w:type="dxa"/>
            <w:tcBorders>
              <w:top w:val="single" w:color="auto" w:sz="4" w:space="0"/>
              <w:left w:val="single" w:color="auto" w:sz="4" w:space="0"/>
              <w:bottom w:val="single" w:color="auto" w:sz="4" w:space="0"/>
              <w:right w:val="single" w:color="auto" w:sz="4" w:space="0"/>
            </w:tcBorders>
          </w:tcPr>
          <w:p w14:paraId="7F64D100">
            <w:pPr>
              <w:jc w:val="center"/>
              <w:rPr>
                <w:sz w:val="23"/>
                <w:szCs w:val="23"/>
              </w:rPr>
            </w:pPr>
          </w:p>
        </w:tc>
        <w:tc>
          <w:tcPr>
            <w:tcW w:w="1178" w:type="dxa"/>
            <w:tcBorders>
              <w:top w:val="single" w:color="auto" w:sz="4" w:space="0"/>
              <w:left w:val="single" w:color="auto" w:sz="4" w:space="0"/>
              <w:bottom w:val="single" w:color="auto" w:sz="4" w:space="0"/>
              <w:right w:val="single" w:color="auto" w:sz="4" w:space="0"/>
            </w:tcBorders>
          </w:tcPr>
          <w:p w14:paraId="59B2E5B5">
            <w:pPr>
              <w:jc w:val="right"/>
              <w:rPr>
                <w:sz w:val="23"/>
                <w:szCs w:val="23"/>
              </w:rPr>
            </w:pPr>
            <w:r>
              <w:rPr>
                <w:sz w:val="23"/>
                <w:szCs w:val="23"/>
              </w:rPr>
              <w:t> </w:t>
            </w:r>
          </w:p>
        </w:tc>
      </w:tr>
      <w:tr w14:paraId="232EFBE3">
        <w:tblPrEx>
          <w:tblCellMar>
            <w:top w:w="0" w:type="dxa"/>
            <w:left w:w="108" w:type="dxa"/>
            <w:bottom w:w="0" w:type="dxa"/>
            <w:right w:w="108" w:type="dxa"/>
          </w:tblCellMar>
        </w:tblPrEx>
        <w:trPr>
          <w:trHeight w:val="300" w:hRule="atLeast"/>
        </w:trPr>
        <w:tc>
          <w:tcPr>
            <w:tcW w:w="589" w:type="dxa"/>
            <w:tcBorders>
              <w:top w:val="nil"/>
              <w:left w:val="single" w:color="auto" w:sz="4" w:space="0"/>
              <w:bottom w:val="single" w:color="auto" w:sz="4" w:space="0"/>
              <w:right w:val="single" w:color="auto" w:sz="4" w:space="0"/>
            </w:tcBorders>
          </w:tcPr>
          <w:p w14:paraId="46BDB182">
            <w:pPr>
              <w:jc w:val="center"/>
              <w:rPr>
                <w:b/>
                <w:bCs/>
                <w:sz w:val="23"/>
                <w:szCs w:val="23"/>
              </w:rPr>
            </w:pPr>
            <w:r>
              <w:rPr>
                <w:b/>
                <w:bCs/>
                <w:sz w:val="23"/>
                <w:szCs w:val="23"/>
              </w:rPr>
              <w:t> </w:t>
            </w:r>
          </w:p>
        </w:tc>
        <w:tc>
          <w:tcPr>
            <w:tcW w:w="1328" w:type="dxa"/>
            <w:tcBorders>
              <w:top w:val="single" w:color="auto" w:sz="4" w:space="0"/>
              <w:left w:val="nil"/>
              <w:bottom w:val="single" w:color="auto" w:sz="4" w:space="0"/>
              <w:right w:val="single" w:color="auto" w:sz="4" w:space="0"/>
            </w:tcBorders>
          </w:tcPr>
          <w:p w14:paraId="764F933A">
            <w:pPr>
              <w:jc w:val="right"/>
              <w:rPr>
                <w:b/>
                <w:bCs/>
                <w:sz w:val="23"/>
                <w:szCs w:val="23"/>
              </w:rPr>
            </w:pPr>
            <w:r>
              <w:rPr>
                <w:b/>
                <w:bCs/>
                <w:sz w:val="23"/>
                <w:szCs w:val="23"/>
              </w:rPr>
              <w:t>ИТОГО:</w:t>
            </w:r>
          </w:p>
        </w:tc>
        <w:tc>
          <w:tcPr>
            <w:tcW w:w="3273" w:type="dxa"/>
            <w:tcBorders>
              <w:top w:val="single" w:color="auto" w:sz="4" w:space="0"/>
              <w:left w:val="single" w:color="auto" w:sz="4" w:space="0"/>
              <w:bottom w:val="single" w:color="auto" w:sz="4" w:space="0"/>
              <w:right w:val="single" w:color="auto" w:sz="4" w:space="0"/>
            </w:tcBorders>
          </w:tcPr>
          <w:p w14:paraId="7A3A72DE">
            <w:pPr>
              <w:jc w:val="center"/>
              <w:rPr>
                <w:b/>
                <w:bCs/>
                <w:sz w:val="23"/>
                <w:szCs w:val="23"/>
              </w:rPr>
            </w:pPr>
            <w:r>
              <w:rPr>
                <w:b/>
                <w:bCs/>
                <w:sz w:val="23"/>
                <w:szCs w:val="23"/>
              </w:rPr>
              <w:t> </w:t>
            </w:r>
          </w:p>
        </w:tc>
        <w:tc>
          <w:tcPr>
            <w:tcW w:w="913" w:type="dxa"/>
            <w:tcBorders>
              <w:top w:val="single" w:color="auto" w:sz="4" w:space="0"/>
              <w:left w:val="single" w:color="auto" w:sz="4" w:space="0"/>
              <w:bottom w:val="single" w:color="auto" w:sz="4" w:space="0"/>
              <w:right w:val="single" w:color="auto" w:sz="4" w:space="0"/>
            </w:tcBorders>
          </w:tcPr>
          <w:p w14:paraId="2F55A5C9">
            <w:pPr>
              <w:jc w:val="center"/>
              <w:rPr>
                <w:b/>
                <w:bCs/>
                <w:sz w:val="23"/>
                <w:szCs w:val="23"/>
              </w:rPr>
            </w:pPr>
            <w:r>
              <w:rPr>
                <w:b/>
                <w:bCs/>
                <w:sz w:val="23"/>
                <w:szCs w:val="23"/>
              </w:rPr>
              <w:t> </w:t>
            </w:r>
          </w:p>
        </w:tc>
        <w:tc>
          <w:tcPr>
            <w:tcW w:w="1089" w:type="dxa"/>
            <w:tcBorders>
              <w:top w:val="single" w:color="auto" w:sz="4" w:space="0"/>
              <w:left w:val="single" w:color="auto" w:sz="4" w:space="0"/>
              <w:bottom w:val="single" w:color="auto" w:sz="4" w:space="0"/>
              <w:right w:val="single" w:color="auto" w:sz="4" w:space="0"/>
            </w:tcBorders>
          </w:tcPr>
          <w:p w14:paraId="03C5E2AB">
            <w:pPr>
              <w:jc w:val="center"/>
              <w:rPr>
                <w:b/>
                <w:bCs/>
                <w:sz w:val="23"/>
                <w:szCs w:val="23"/>
              </w:rPr>
            </w:pPr>
            <w:r>
              <w:rPr>
                <w:b/>
                <w:bCs/>
                <w:sz w:val="23"/>
                <w:szCs w:val="23"/>
              </w:rPr>
              <w:t> </w:t>
            </w:r>
          </w:p>
        </w:tc>
        <w:tc>
          <w:tcPr>
            <w:tcW w:w="796" w:type="dxa"/>
            <w:tcBorders>
              <w:top w:val="single" w:color="auto" w:sz="4" w:space="0"/>
              <w:left w:val="single" w:color="auto" w:sz="4" w:space="0"/>
              <w:bottom w:val="single" w:color="auto" w:sz="4" w:space="0"/>
              <w:right w:val="single" w:color="auto" w:sz="4" w:space="0"/>
            </w:tcBorders>
          </w:tcPr>
          <w:p w14:paraId="59957B02">
            <w:pPr>
              <w:jc w:val="right"/>
              <w:rPr>
                <w:sz w:val="23"/>
                <w:szCs w:val="23"/>
              </w:rPr>
            </w:pPr>
            <w:r>
              <w:rPr>
                <w:sz w:val="23"/>
                <w:szCs w:val="23"/>
              </w:rPr>
              <w:t> </w:t>
            </w:r>
          </w:p>
        </w:tc>
        <w:tc>
          <w:tcPr>
            <w:tcW w:w="886" w:type="dxa"/>
            <w:tcBorders>
              <w:top w:val="single" w:color="auto" w:sz="4" w:space="0"/>
              <w:left w:val="single" w:color="auto" w:sz="4" w:space="0"/>
              <w:bottom w:val="single" w:color="auto" w:sz="4" w:space="0"/>
              <w:right w:val="single" w:color="auto" w:sz="4" w:space="0"/>
            </w:tcBorders>
          </w:tcPr>
          <w:p w14:paraId="569CE11A">
            <w:pPr>
              <w:jc w:val="right"/>
              <w:rPr>
                <w:sz w:val="23"/>
                <w:szCs w:val="23"/>
              </w:rPr>
            </w:pPr>
          </w:p>
        </w:tc>
        <w:tc>
          <w:tcPr>
            <w:tcW w:w="1178" w:type="dxa"/>
            <w:tcBorders>
              <w:top w:val="single" w:color="auto" w:sz="4" w:space="0"/>
              <w:left w:val="single" w:color="auto" w:sz="4" w:space="0"/>
              <w:bottom w:val="single" w:color="auto" w:sz="4" w:space="0"/>
              <w:right w:val="single" w:color="auto" w:sz="4" w:space="0"/>
            </w:tcBorders>
          </w:tcPr>
          <w:p w14:paraId="5B74996E">
            <w:pPr>
              <w:jc w:val="right"/>
              <w:rPr>
                <w:b/>
                <w:bCs/>
                <w:sz w:val="23"/>
                <w:szCs w:val="23"/>
              </w:rPr>
            </w:pPr>
            <w:r>
              <w:rPr>
                <w:b/>
                <w:bCs/>
                <w:sz w:val="23"/>
                <w:szCs w:val="23"/>
              </w:rPr>
              <w:t> </w:t>
            </w:r>
          </w:p>
        </w:tc>
      </w:tr>
    </w:tbl>
    <w:p w14:paraId="5C81EEA8">
      <w:pPr>
        <w:jc w:val="center"/>
        <w:rPr>
          <w:b/>
          <w:spacing w:val="60"/>
          <w:szCs w:val="24"/>
        </w:rPr>
      </w:pPr>
    </w:p>
    <w:p w14:paraId="7FAD8FE6">
      <w:pPr>
        <w:rPr>
          <w:b/>
          <w:spacing w:val="60"/>
          <w:szCs w:val="24"/>
        </w:rPr>
      </w:pPr>
    </w:p>
    <w:p w14:paraId="407667D6">
      <w:pPr>
        <w:tabs>
          <w:tab w:val="left" w:pos="708"/>
          <w:tab w:val="center" w:pos="4677"/>
          <w:tab w:val="right" w:pos="9355"/>
        </w:tabs>
        <w:rPr>
          <w:b/>
          <w:i/>
          <w:szCs w:val="24"/>
        </w:rPr>
      </w:pPr>
      <w:bookmarkStart w:id="5" w:name="_Hlk74836985"/>
      <w:r>
        <w:rPr>
          <w:b/>
          <w:szCs w:val="24"/>
        </w:rPr>
        <w:t>Всего к оплате:</w:t>
      </w:r>
      <w:r>
        <w:rPr>
          <w:bCs/>
          <w:szCs w:val="24"/>
        </w:rPr>
        <w:t xml:space="preserve"> </w:t>
      </w:r>
      <w:r>
        <w:rPr>
          <w:b/>
          <w:szCs w:val="24"/>
        </w:rPr>
        <w:t>___________,____ (сумма прописью) рублей ___ копеек.</w:t>
      </w:r>
    </w:p>
    <w:p w14:paraId="197A4B32">
      <w:pPr>
        <w:tabs>
          <w:tab w:val="left" w:pos="708"/>
          <w:tab w:val="center" w:pos="4677"/>
          <w:tab w:val="right" w:pos="9355"/>
        </w:tabs>
        <w:rPr>
          <w:szCs w:val="24"/>
        </w:rPr>
      </w:pPr>
      <w:r>
        <w:rPr>
          <w:szCs w:val="24"/>
        </w:rPr>
        <w:t>В том числе НДС: ___________,____ (сумма прописью) рублей ___ копеек/НДС не облагается на основании __________.</w:t>
      </w:r>
    </w:p>
    <w:bookmarkEnd w:id="5"/>
    <w:p w14:paraId="53C843E1">
      <w:pPr>
        <w:widowControl w:val="0"/>
        <w:tabs>
          <w:tab w:val="left" w:pos="851"/>
        </w:tabs>
        <w:jc w:val="right"/>
        <w:rPr>
          <w:sz w:val="21"/>
          <w:szCs w:val="21"/>
        </w:rPr>
      </w:pPr>
    </w:p>
    <w:p w14:paraId="143E7AE4">
      <w:pPr>
        <w:widowControl w:val="0"/>
        <w:tabs>
          <w:tab w:val="left" w:pos="851"/>
          <w:tab w:val="left" w:pos="6521"/>
        </w:tabs>
        <w:rPr>
          <w:sz w:val="21"/>
          <w:szCs w:val="21"/>
        </w:rPr>
      </w:pPr>
    </w:p>
    <w:tbl>
      <w:tblPr>
        <w:tblStyle w:val="4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26"/>
        <w:gridCol w:w="5026"/>
      </w:tblGrid>
      <w:tr w14:paraId="65A8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26" w:type="dxa"/>
          </w:tcPr>
          <w:p w14:paraId="02B70610">
            <w:pPr>
              <w:widowControl w:val="0"/>
              <w:tabs>
                <w:tab w:val="left" w:pos="851"/>
                <w:tab w:val="left" w:pos="6521"/>
              </w:tabs>
              <w:rPr>
                <w:sz w:val="21"/>
                <w:szCs w:val="21"/>
              </w:rPr>
            </w:pPr>
            <w:r>
              <w:rPr>
                <w:b/>
                <w:sz w:val="21"/>
              </w:rPr>
              <w:t>ПОСТАВЩИК:</w:t>
            </w:r>
          </w:p>
        </w:tc>
        <w:tc>
          <w:tcPr>
            <w:tcW w:w="5026" w:type="dxa"/>
          </w:tcPr>
          <w:p w14:paraId="427034DB">
            <w:pPr>
              <w:widowControl w:val="0"/>
              <w:tabs>
                <w:tab w:val="left" w:pos="851"/>
                <w:tab w:val="left" w:pos="6521"/>
              </w:tabs>
              <w:rPr>
                <w:b/>
                <w:sz w:val="21"/>
                <w:szCs w:val="21"/>
              </w:rPr>
            </w:pPr>
            <w:r>
              <w:rPr>
                <w:b/>
                <w:sz w:val="21"/>
                <w:szCs w:val="21"/>
              </w:rPr>
              <w:t>ПОКУПАТЕЛЬ</w:t>
            </w:r>
          </w:p>
        </w:tc>
      </w:tr>
      <w:tr w14:paraId="68CF4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26" w:type="dxa"/>
          </w:tcPr>
          <w:p w14:paraId="0F2A7DE1">
            <w:pPr>
              <w:widowControl w:val="0"/>
              <w:tabs>
                <w:tab w:val="left" w:pos="851"/>
                <w:tab w:val="left" w:pos="6521"/>
              </w:tabs>
              <w:rPr>
                <w:sz w:val="21"/>
                <w:szCs w:val="21"/>
              </w:rPr>
            </w:pPr>
          </w:p>
        </w:tc>
        <w:tc>
          <w:tcPr>
            <w:tcW w:w="5026" w:type="dxa"/>
          </w:tcPr>
          <w:p w14:paraId="0A54971C">
            <w:pPr>
              <w:widowControl w:val="0"/>
              <w:rPr>
                <w:sz w:val="21"/>
                <w:szCs w:val="21"/>
              </w:rPr>
            </w:pPr>
          </w:p>
          <w:p w14:paraId="32710B2A">
            <w:pPr>
              <w:widowControl w:val="0"/>
              <w:rPr>
                <w:sz w:val="21"/>
                <w:szCs w:val="21"/>
              </w:rPr>
            </w:pPr>
            <w:r>
              <w:rPr>
                <w:sz w:val="21"/>
                <w:szCs w:val="21"/>
              </w:rPr>
              <w:t>Генеральный директор</w:t>
            </w:r>
          </w:p>
          <w:p w14:paraId="35C61719">
            <w:pPr>
              <w:widowControl w:val="0"/>
              <w:rPr>
                <w:sz w:val="21"/>
                <w:szCs w:val="21"/>
              </w:rPr>
            </w:pPr>
          </w:p>
          <w:p w14:paraId="6C2BD676">
            <w:pPr>
              <w:widowControl w:val="0"/>
              <w:tabs>
                <w:tab w:val="left" w:pos="851"/>
                <w:tab w:val="left" w:pos="6521"/>
              </w:tabs>
              <w:rPr>
                <w:sz w:val="21"/>
                <w:szCs w:val="21"/>
              </w:rPr>
            </w:pPr>
            <w:r>
              <w:rPr>
                <w:sz w:val="21"/>
                <w:szCs w:val="21"/>
              </w:rPr>
              <w:t>____________________А.Ю. Юрасова</w:t>
            </w:r>
          </w:p>
        </w:tc>
      </w:tr>
    </w:tbl>
    <w:p w14:paraId="3BFD3D1E">
      <w:pPr>
        <w:widowControl w:val="0"/>
        <w:tabs>
          <w:tab w:val="left" w:pos="851"/>
          <w:tab w:val="left" w:pos="6521"/>
        </w:tabs>
        <w:rPr>
          <w:sz w:val="21"/>
          <w:szCs w:val="21"/>
        </w:rPr>
      </w:pPr>
    </w:p>
    <w:p w14:paraId="7D1E7BE4">
      <w:pPr>
        <w:widowControl w:val="0"/>
        <w:tabs>
          <w:tab w:val="left" w:pos="851"/>
          <w:tab w:val="left" w:pos="6521"/>
        </w:tabs>
        <w:rPr>
          <w:sz w:val="21"/>
          <w:szCs w:val="21"/>
        </w:rPr>
      </w:pPr>
    </w:p>
    <w:p w14:paraId="2DA4C3F5">
      <w:pPr>
        <w:widowControl w:val="0"/>
        <w:tabs>
          <w:tab w:val="left" w:pos="851"/>
        </w:tabs>
        <w:jc w:val="right"/>
        <w:rPr>
          <w:b/>
          <w:sz w:val="21"/>
          <w:szCs w:val="21"/>
        </w:rPr>
      </w:pPr>
      <w:r>
        <w:rPr>
          <w:b/>
          <w:sz w:val="21"/>
          <w:szCs w:val="21"/>
        </w:rPr>
        <w:t>Приложение № 2</w:t>
      </w:r>
    </w:p>
    <w:p w14:paraId="24FE60F4">
      <w:pPr>
        <w:widowControl w:val="0"/>
        <w:tabs>
          <w:tab w:val="left" w:pos="851"/>
        </w:tabs>
        <w:jc w:val="right"/>
        <w:rPr>
          <w:sz w:val="21"/>
          <w:szCs w:val="21"/>
        </w:rPr>
      </w:pPr>
      <w:r>
        <w:rPr>
          <w:sz w:val="21"/>
          <w:szCs w:val="21"/>
        </w:rPr>
        <w:t>к Договору поставки</w:t>
      </w:r>
      <w:r>
        <w:rPr>
          <w:spacing w:val="-3"/>
          <w:sz w:val="21"/>
          <w:szCs w:val="21"/>
        </w:rPr>
        <w:t xml:space="preserve"> </w:t>
      </w:r>
      <w:r>
        <w:rPr>
          <w:sz w:val="21"/>
          <w:szCs w:val="21"/>
        </w:rPr>
        <w:t>№_________ от __.__ 202_ года</w:t>
      </w:r>
    </w:p>
    <w:p w14:paraId="1583CB6C">
      <w:pPr>
        <w:widowControl w:val="0"/>
        <w:tabs>
          <w:tab w:val="left" w:pos="851"/>
          <w:tab w:val="left" w:pos="6521"/>
        </w:tabs>
        <w:rPr>
          <w:sz w:val="21"/>
          <w:szCs w:val="21"/>
        </w:rPr>
      </w:pPr>
    </w:p>
    <w:p w14:paraId="7C1FAFCB">
      <w:pPr>
        <w:rPr>
          <w:sz w:val="21"/>
          <w:szCs w:val="21"/>
        </w:rPr>
      </w:pPr>
    </w:p>
    <w:p w14:paraId="30CE3D06">
      <w:pPr>
        <w:jc w:val="center"/>
        <w:rPr>
          <w:color w:val="auto"/>
          <w:sz w:val="21"/>
          <w:szCs w:val="21"/>
        </w:rPr>
      </w:pPr>
      <w:bookmarkStart w:id="6" w:name="_Hlk56604568"/>
      <w:r>
        <w:rPr>
          <w:sz w:val="21"/>
          <w:szCs w:val="21"/>
        </w:rPr>
        <w:t xml:space="preserve">Техническое </w:t>
      </w:r>
      <w:r>
        <w:rPr>
          <w:color w:val="auto"/>
          <w:sz w:val="21"/>
          <w:szCs w:val="21"/>
        </w:rPr>
        <w:t xml:space="preserve">задание  </w:t>
      </w:r>
    </w:p>
    <w:p w14:paraId="3D6AB847">
      <w:pPr>
        <w:jc w:val="center"/>
        <w:rPr>
          <w:bCs/>
          <w:i/>
          <w:iCs/>
          <w:color w:val="FF0000"/>
          <w:szCs w:val="24"/>
        </w:rPr>
      </w:pPr>
      <w:r>
        <w:rPr>
          <w:bCs/>
          <w:i/>
          <w:iCs/>
          <w:color w:val="FF0000"/>
          <w:szCs w:val="24"/>
        </w:rPr>
        <w:t>*заполняется по результатам закупки</w:t>
      </w:r>
    </w:p>
    <w:p w14:paraId="6EADDB6F">
      <w:pPr>
        <w:rPr>
          <w:sz w:val="21"/>
          <w:szCs w:val="21"/>
        </w:rPr>
      </w:pPr>
    </w:p>
    <w:p w14:paraId="1EC8308E">
      <w:pPr>
        <w:rPr>
          <w:sz w:val="21"/>
          <w:szCs w:val="21"/>
        </w:rPr>
      </w:pPr>
    </w:p>
    <w:p w14:paraId="00FB7B8D">
      <w:pPr>
        <w:rPr>
          <w:sz w:val="21"/>
          <w:szCs w:val="21"/>
        </w:rPr>
      </w:pPr>
    </w:p>
    <w:tbl>
      <w:tblPr>
        <w:tblStyle w:val="4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26"/>
        <w:gridCol w:w="5026"/>
      </w:tblGrid>
      <w:tr w14:paraId="6E54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26" w:type="dxa"/>
          </w:tcPr>
          <w:p w14:paraId="22A5A9C9">
            <w:pPr>
              <w:widowControl w:val="0"/>
              <w:tabs>
                <w:tab w:val="left" w:pos="851"/>
                <w:tab w:val="left" w:pos="6521"/>
              </w:tabs>
              <w:rPr>
                <w:sz w:val="21"/>
                <w:szCs w:val="21"/>
              </w:rPr>
            </w:pPr>
            <w:r>
              <w:rPr>
                <w:b/>
                <w:sz w:val="21"/>
              </w:rPr>
              <w:t>ПОСТАВЩИК:</w:t>
            </w:r>
          </w:p>
        </w:tc>
        <w:tc>
          <w:tcPr>
            <w:tcW w:w="5026" w:type="dxa"/>
          </w:tcPr>
          <w:p w14:paraId="486F3BC4">
            <w:pPr>
              <w:widowControl w:val="0"/>
              <w:tabs>
                <w:tab w:val="left" w:pos="851"/>
                <w:tab w:val="left" w:pos="6521"/>
              </w:tabs>
              <w:rPr>
                <w:b/>
                <w:sz w:val="21"/>
                <w:szCs w:val="21"/>
              </w:rPr>
            </w:pPr>
            <w:r>
              <w:rPr>
                <w:b/>
                <w:sz w:val="21"/>
                <w:szCs w:val="21"/>
              </w:rPr>
              <w:t>ПОКУПАТЕЛЬ</w:t>
            </w:r>
          </w:p>
        </w:tc>
      </w:tr>
      <w:tr w14:paraId="776F1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26" w:type="dxa"/>
          </w:tcPr>
          <w:p w14:paraId="418E765B">
            <w:pPr>
              <w:widowControl w:val="0"/>
              <w:tabs>
                <w:tab w:val="left" w:pos="851"/>
                <w:tab w:val="left" w:pos="6521"/>
              </w:tabs>
              <w:rPr>
                <w:sz w:val="21"/>
                <w:szCs w:val="21"/>
              </w:rPr>
            </w:pPr>
          </w:p>
        </w:tc>
        <w:tc>
          <w:tcPr>
            <w:tcW w:w="5026" w:type="dxa"/>
          </w:tcPr>
          <w:p w14:paraId="115F64CB">
            <w:pPr>
              <w:widowControl w:val="0"/>
              <w:rPr>
                <w:sz w:val="21"/>
                <w:szCs w:val="21"/>
              </w:rPr>
            </w:pPr>
          </w:p>
          <w:p w14:paraId="13AA6A29">
            <w:pPr>
              <w:widowControl w:val="0"/>
              <w:rPr>
                <w:sz w:val="21"/>
                <w:szCs w:val="21"/>
              </w:rPr>
            </w:pPr>
            <w:r>
              <w:rPr>
                <w:sz w:val="21"/>
                <w:szCs w:val="21"/>
              </w:rPr>
              <w:t>Генеральный директор</w:t>
            </w:r>
          </w:p>
          <w:p w14:paraId="0BB75308">
            <w:pPr>
              <w:widowControl w:val="0"/>
              <w:rPr>
                <w:sz w:val="21"/>
                <w:szCs w:val="21"/>
              </w:rPr>
            </w:pPr>
          </w:p>
          <w:p w14:paraId="12F90CDC">
            <w:pPr>
              <w:widowControl w:val="0"/>
              <w:tabs>
                <w:tab w:val="left" w:pos="851"/>
                <w:tab w:val="left" w:pos="6521"/>
              </w:tabs>
              <w:rPr>
                <w:sz w:val="21"/>
                <w:szCs w:val="21"/>
              </w:rPr>
            </w:pPr>
            <w:r>
              <w:rPr>
                <w:sz w:val="21"/>
                <w:szCs w:val="21"/>
              </w:rPr>
              <w:t>____________________А.Ю. Юрасова</w:t>
            </w:r>
          </w:p>
        </w:tc>
      </w:tr>
      <w:bookmarkEnd w:id="6"/>
    </w:tbl>
    <w:p w14:paraId="4ABF7A08">
      <w:pPr>
        <w:rPr>
          <w:sz w:val="21"/>
          <w:szCs w:val="21"/>
        </w:rPr>
      </w:pPr>
    </w:p>
    <w:sectPr>
      <w:pgSz w:w="11905" w:h="16837"/>
      <w:pgMar w:top="1134" w:right="709" w:bottom="1134" w:left="1134" w:header="709"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XO Thames">
    <w:altName w:val="Times New Roman"/>
    <w:panose1 w:val="00000000000000000000"/>
    <w:charset w:val="CC"/>
    <w:family w:val="roman"/>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Verdana">
    <w:panose1 w:val="020B0604030504040204"/>
    <w:charset w:val="CC"/>
    <w:family w:val="swiss"/>
    <w:pitch w:val="default"/>
    <w:sig w:usb0="A00006FF" w:usb1="4000205B" w:usb2="00000010" w:usb3="00000000" w:csb0="2000019F" w:csb1="00000000"/>
  </w:font>
  <w:font w:name="Calibri">
    <w:panose1 w:val="020F0502020204030204"/>
    <w:charset w:val="CC"/>
    <w:family w:val="swiss"/>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Liberation Sans">
    <w:altName w:val="Segoe Print"/>
    <w:panose1 w:val="00000000000000000000"/>
    <w:charset w:val="CC"/>
    <w:family w:val="swiss"/>
    <w:pitch w:val="default"/>
    <w:sig w:usb0="00000000" w:usb1="00000000" w:usb2="00000021" w:usb3="00000000" w:csb0="000001B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13AB6"/>
    <w:multiLevelType w:val="multilevel"/>
    <w:tmpl w:val="02813AB6"/>
    <w:lvl w:ilvl="0" w:tentative="0">
      <w:start w:val="1"/>
      <w:numFmt w:val="decimal"/>
      <w:lvlText w:val="%1."/>
      <w:lvlJc w:val="left"/>
      <w:pPr>
        <w:ind w:left="1140" w:hanging="1140"/>
      </w:pPr>
    </w:lvl>
    <w:lvl w:ilvl="1" w:tentative="0">
      <w:start w:val="1"/>
      <w:numFmt w:val="decimal"/>
      <w:lvlText w:val="%1.%2."/>
      <w:lvlJc w:val="left"/>
      <w:pPr>
        <w:ind w:left="1991" w:hanging="1140"/>
      </w:pPr>
      <w:rPr>
        <w:b w:val="0"/>
      </w:rPr>
    </w:lvl>
    <w:lvl w:ilvl="2" w:tentative="0">
      <w:start w:val="1"/>
      <w:numFmt w:val="decimal"/>
      <w:lvlText w:val="%1.%2.%3."/>
      <w:lvlJc w:val="left"/>
      <w:pPr>
        <w:ind w:left="2580" w:hanging="1140"/>
      </w:pPr>
    </w:lvl>
    <w:lvl w:ilvl="3" w:tentative="0">
      <w:start w:val="1"/>
      <w:numFmt w:val="decimal"/>
      <w:lvlText w:val="%1.%2.%3.%4."/>
      <w:lvlJc w:val="left"/>
      <w:pPr>
        <w:ind w:left="3300" w:hanging="1140"/>
      </w:pPr>
    </w:lvl>
    <w:lvl w:ilvl="4" w:tentative="0">
      <w:start w:val="1"/>
      <w:numFmt w:val="decimal"/>
      <w:lvlText w:val="%1.%2.%3.%4.%5."/>
      <w:lvlJc w:val="left"/>
      <w:pPr>
        <w:ind w:left="4020" w:hanging="1140"/>
      </w:pPr>
    </w:lvl>
    <w:lvl w:ilvl="5" w:tentative="0">
      <w:start w:val="1"/>
      <w:numFmt w:val="decimal"/>
      <w:lvlText w:val="%1.%2.%3.%4.%5.%6."/>
      <w:lvlJc w:val="left"/>
      <w:pPr>
        <w:ind w:left="4740" w:hanging="1140"/>
      </w:pPr>
    </w:lvl>
    <w:lvl w:ilvl="6" w:tentative="0">
      <w:start w:val="1"/>
      <w:numFmt w:val="decimal"/>
      <w:lvlText w:val="%1.%2.%3.%4.%5.%6.%7."/>
      <w:lvlJc w:val="left"/>
      <w:pPr>
        <w:ind w:left="5760" w:hanging="1440"/>
      </w:pPr>
    </w:lvl>
    <w:lvl w:ilvl="7" w:tentative="0">
      <w:start w:val="1"/>
      <w:numFmt w:val="decimal"/>
      <w:lvlText w:val="%1.%2.%3.%4.%5.%6.%7.%8."/>
      <w:lvlJc w:val="left"/>
      <w:pPr>
        <w:ind w:left="6480" w:hanging="1440"/>
      </w:pPr>
    </w:lvl>
    <w:lvl w:ilvl="8" w:tentative="0">
      <w:start w:val="1"/>
      <w:numFmt w:val="decimal"/>
      <w:lvlText w:val="%1.%2.%3.%4.%5.%6.%7.%8.%9."/>
      <w:lvlJc w:val="left"/>
      <w:pPr>
        <w:ind w:left="7560" w:hanging="1800"/>
      </w:pPr>
    </w:lvl>
  </w:abstractNum>
  <w:abstractNum w:abstractNumId="1">
    <w:nsid w:val="1C477946"/>
    <w:multiLevelType w:val="multilevel"/>
    <w:tmpl w:val="1C477946"/>
    <w:lvl w:ilvl="0" w:tentative="0">
      <w:start w:val="1"/>
      <w:numFmt w:val="decimal"/>
      <w:pStyle w:val="26"/>
      <w:lvlText w:val="%1."/>
      <w:lvlJc w:val="left"/>
      <w:pPr>
        <w:tabs>
          <w:tab w:val="left" w:pos="926"/>
        </w:tabs>
        <w:ind w:left="926"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4D9F2493"/>
    <w:multiLevelType w:val="multilevel"/>
    <w:tmpl w:val="4D9F2493"/>
    <w:lvl w:ilvl="0" w:tentative="0">
      <w:start w:val="1"/>
      <w:numFmt w:val="decimal"/>
      <w:pStyle w:val="2"/>
      <w:lvlText w:val="%1."/>
      <w:lvlJc w:val="left"/>
      <w:pPr>
        <w:tabs>
          <w:tab w:val="left" w:pos="495"/>
        </w:tabs>
        <w:ind w:left="495" w:hanging="495"/>
      </w:pPr>
      <w:rPr>
        <w:rFonts w:ascii="Times New Roman" w:hAnsi="Times New Roman"/>
        <w:b/>
        <w:i w:val="0"/>
        <w:color w:val="000000"/>
        <w:sz w:val="24"/>
        <w:u w:val="none"/>
      </w:rPr>
    </w:lvl>
    <w:lvl w:ilvl="1" w:tentative="0">
      <w:start w:val="1"/>
      <w:numFmt w:val="decimal"/>
      <w:lvlText w:val=""/>
      <w:lvlJc w:val="left"/>
      <w:pPr>
        <w:tabs>
          <w:tab w:val="left" w:pos="0"/>
        </w:tabs>
        <w:ind w:left="0" w:firstLine="0"/>
      </w:pPr>
    </w:lvl>
    <w:lvl w:ilvl="2" w:tentative="0">
      <w:start w:val="1"/>
      <w:numFmt w:val="decimal"/>
      <w:lvlText w:val=""/>
      <w:lvlJc w:val="left"/>
      <w:pPr>
        <w:tabs>
          <w:tab w:val="left" w:pos="0"/>
        </w:tabs>
        <w:ind w:left="0" w:firstLine="0"/>
      </w:pPr>
    </w:lvl>
    <w:lvl w:ilvl="3" w:tentative="0">
      <w:start w:val="1"/>
      <w:numFmt w:val="decimal"/>
      <w:lvlText w:val=""/>
      <w:lvlJc w:val="left"/>
      <w:pPr>
        <w:tabs>
          <w:tab w:val="left" w:pos="0"/>
        </w:tabs>
        <w:ind w:left="0" w:firstLine="0"/>
      </w:pPr>
    </w:lvl>
    <w:lvl w:ilvl="4" w:tentative="0">
      <w:start w:val="1"/>
      <w:numFmt w:val="decimal"/>
      <w:lvlText w:val=""/>
      <w:lvlJc w:val="left"/>
      <w:pPr>
        <w:tabs>
          <w:tab w:val="left" w:pos="0"/>
        </w:tabs>
        <w:ind w:left="0" w:firstLine="0"/>
      </w:pPr>
    </w:lvl>
    <w:lvl w:ilvl="5" w:tentative="0">
      <w:start w:val="1"/>
      <w:numFmt w:val="decimal"/>
      <w:lvlText w:val=""/>
      <w:lvlJc w:val="left"/>
      <w:pPr>
        <w:tabs>
          <w:tab w:val="left" w:pos="0"/>
        </w:tabs>
        <w:ind w:left="0" w:firstLine="0"/>
      </w:pPr>
    </w:lvl>
    <w:lvl w:ilvl="6" w:tentative="0">
      <w:start w:val="1"/>
      <w:numFmt w:val="decimal"/>
      <w:lvlText w:val=""/>
      <w:lvlJc w:val="left"/>
      <w:pPr>
        <w:tabs>
          <w:tab w:val="left" w:pos="0"/>
        </w:tabs>
        <w:ind w:left="0" w:firstLine="0"/>
      </w:pPr>
    </w:lvl>
    <w:lvl w:ilvl="7" w:tentative="0">
      <w:start w:val="1"/>
      <w:numFmt w:val="decimal"/>
      <w:lvlText w:val=""/>
      <w:lvlJc w:val="left"/>
      <w:pPr>
        <w:tabs>
          <w:tab w:val="left" w:pos="0"/>
        </w:tabs>
        <w:ind w:left="0" w:firstLine="0"/>
      </w:pPr>
    </w:lvl>
    <w:lvl w:ilvl="8" w:tentative="0">
      <w:start w:val="1"/>
      <w:numFmt w:val="decimal"/>
      <w:lvlText w:val=""/>
      <w:lvlJc w:val="left"/>
      <w:pPr>
        <w:tabs>
          <w:tab w:val="left" w:pos="0"/>
        </w:tabs>
        <w:ind w:left="0" w:firstLine="0"/>
      </w:pPr>
    </w:lvl>
  </w:abstractNum>
  <w:abstractNum w:abstractNumId="3">
    <w:nsid w:val="50830008"/>
    <w:multiLevelType w:val="multilevel"/>
    <w:tmpl w:val="50830008"/>
    <w:lvl w:ilvl="0" w:tentative="0">
      <w:start w:val="1"/>
      <w:numFmt w:val="decimal"/>
      <w:lvlText w:val="Приложение №%1"/>
      <w:lvlJc w:val="left"/>
      <w:pPr>
        <w:ind w:left="1146" w:hanging="360"/>
      </w:pPr>
      <w:rPr>
        <w:rFonts w:ascii="Times New Roman" w:hAnsi="Times New Roman"/>
        <w:b w:val="0"/>
        <w:i w:val="0"/>
        <w:sz w:val="21"/>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A9E"/>
    <w:rsid w:val="00010D8D"/>
    <w:rsid w:val="00021429"/>
    <w:rsid w:val="0003685D"/>
    <w:rsid w:val="000375ED"/>
    <w:rsid w:val="000653C4"/>
    <w:rsid w:val="000658F1"/>
    <w:rsid w:val="00066011"/>
    <w:rsid w:val="00066311"/>
    <w:rsid w:val="00081220"/>
    <w:rsid w:val="00084355"/>
    <w:rsid w:val="00084E34"/>
    <w:rsid w:val="000A40F1"/>
    <w:rsid w:val="000A75EE"/>
    <w:rsid w:val="001056C8"/>
    <w:rsid w:val="00120185"/>
    <w:rsid w:val="0013513A"/>
    <w:rsid w:val="00181555"/>
    <w:rsid w:val="001D6C0E"/>
    <w:rsid w:val="001E46EA"/>
    <w:rsid w:val="001F33F2"/>
    <w:rsid w:val="00205811"/>
    <w:rsid w:val="00207220"/>
    <w:rsid w:val="0020776D"/>
    <w:rsid w:val="00220A9E"/>
    <w:rsid w:val="00221641"/>
    <w:rsid w:val="002338E2"/>
    <w:rsid w:val="00241819"/>
    <w:rsid w:val="00242106"/>
    <w:rsid w:val="00250185"/>
    <w:rsid w:val="002548C9"/>
    <w:rsid w:val="00262FD0"/>
    <w:rsid w:val="002926E3"/>
    <w:rsid w:val="002A5F6C"/>
    <w:rsid w:val="002B0847"/>
    <w:rsid w:val="002B135C"/>
    <w:rsid w:val="002B2ED6"/>
    <w:rsid w:val="002B3D57"/>
    <w:rsid w:val="002B552A"/>
    <w:rsid w:val="002C219C"/>
    <w:rsid w:val="002C74FB"/>
    <w:rsid w:val="003234C3"/>
    <w:rsid w:val="0032449B"/>
    <w:rsid w:val="00375CD0"/>
    <w:rsid w:val="0038382E"/>
    <w:rsid w:val="003844D9"/>
    <w:rsid w:val="00386980"/>
    <w:rsid w:val="00397DCB"/>
    <w:rsid w:val="003A66F9"/>
    <w:rsid w:val="003A79F7"/>
    <w:rsid w:val="003B1CBC"/>
    <w:rsid w:val="003D1855"/>
    <w:rsid w:val="003D37A7"/>
    <w:rsid w:val="003D4372"/>
    <w:rsid w:val="00431871"/>
    <w:rsid w:val="004319D7"/>
    <w:rsid w:val="00432C0C"/>
    <w:rsid w:val="00456FCE"/>
    <w:rsid w:val="00476C2B"/>
    <w:rsid w:val="0048779B"/>
    <w:rsid w:val="004B1A3F"/>
    <w:rsid w:val="004C18A7"/>
    <w:rsid w:val="00501717"/>
    <w:rsid w:val="00507819"/>
    <w:rsid w:val="0051151D"/>
    <w:rsid w:val="005133B3"/>
    <w:rsid w:val="00522925"/>
    <w:rsid w:val="0053711D"/>
    <w:rsid w:val="00545121"/>
    <w:rsid w:val="00547279"/>
    <w:rsid w:val="00557C76"/>
    <w:rsid w:val="00567125"/>
    <w:rsid w:val="00591D4C"/>
    <w:rsid w:val="00593B19"/>
    <w:rsid w:val="005952A5"/>
    <w:rsid w:val="005A0BA8"/>
    <w:rsid w:val="005A4A56"/>
    <w:rsid w:val="005B5712"/>
    <w:rsid w:val="005D193A"/>
    <w:rsid w:val="005D671E"/>
    <w:rsid w:val="005D6BC7"/>
    <w:rsid w:val="005E1BD9"/>
    <w:rsid w:val="005E7CE4"/>
    <w:rsid w:val="005F4C59"/>
    <w:rsid w:val="00601BD4"/>
    <w:rsid w:val="006022A6"/>
    <w:rsid w:val="006222DA"/>
    <w:rsid w:val="006251B6"/>
    <w:rsid w:val="00627ADB"/>
    <w:rsid w:val="00646C78"/>
    <w:rsid w:val="00655913"/>
    <w:rsid w:val="00676AA7"/>
    <w:rsid w:val="00680AE3"/>
    <w:rsid w:val="00682811"/>
    <w:rsid w:val="006A5FEC"/>
    <w:rsid w:val="006B50BF"/>
    <w:rsid w:val="006B57AB"/>
    <w:rsid w:val="006B5D76"/>
    <w:rsid w:val="006E172A"/>
    <w:rsid w:val="006E7E49"/>
    <w:rsid w:val="007038D7"/>
    <w:rsid w:val="00720FCA"/>
    <w:rsid w:val="007272C4"/>
    <w:rsid w:val="007573D4"/>
    <w:rsid w:val="007606AC"/>
    <w:rsid w:val="00787E71"/>
    <w:rsid w:val="0079430A"/>
    <w:rsid w:val="007A7585"/>
    <w:rsid w:val="007B7B4A"/>
    <w:rsid w:val="007D402A"/>
    <w:rsid w:val="007D6735"/>
    <w:rsid w:val="007E1514"/>
    <w:rsid w:val="007F3108"/>
    <w:rsid w:val="00816A17"/>
    <w:rsid w:val="00823DDE"/>
    <w:rsid w:val="00860CE4"/>
    <w:rsid w:val="00861E0D"/>
    <w:rsid w:val="00886B3A"/>
    <w:rsid w:val="008B7123"/>
    <w:rsid w:val="008E384C"/>
    <w:rsid w:val="00906699"/>
    <w:rsid w:val="00913C6D"/>
    <w:rsid w:val="009479AB"/>
    <w:rsid w:val="00947D2E"/>
    <w:rsid w:val="009527BD"/>
    <w:rsid w:val="0097474D"/>
    <w:rsid w:val="00984118"/>
    <w:rsid w:val="0098481B"/>
    <w:rsid w:val="00994740"/>
    <w:rsid w:val="009A43F7"/>
    <w:rsid w:val="009A6A32"/>
    <w:rsid w:val="009C4574"/>
    <w:rsid w:val="009E1908"/>
    <w:rsid w:val="009F1823"/>
    <w:rsid w:val="009F3EF3"/>
    <w:rsid w:val="009F71EE"/>
    <w:rsid w:val="00A00EE9"/>
    <w:rsid w:val="00A06568"/>
    <w:rsid w:val="00A35268"/>
    <w:rsid w:val="00A50DEE"/>
    <w:rsid w:val="00A5724C"/>
    <w:rsid w:val="00A7699B"/>
    <w:rsid w:val="00A91FD3"/>
    <w:rsid w:val="00AA3A60"/>
    <w:rsid w:val="00AB04BF"/>
    <w:rsid w:val="00AB6396"/>
    <w:rsid w:val="00B05A88"/>
    <w:rsid w:val="00B12361"/>
    <w:rsid w:val="00B127FC"/>
    <w:rsid w:val="00B22EC8"/>
    <w:rsid w:val="00B23BBC"/>
    <w:rsid w:val="00B342A2"/>
    <w:rsid w:val="00BA2C00"/>
    <w:rsid w:val="00BA3E6F"/>
    <w:rsid w:val="00BB4DCA"/>
    <w:rsid w:val="00BD002F"/>
    <w:rsid w:val="00BD4403"/>
    <w:rsid w:val="00BF46A7"/>
    <w:rsid w:val="00C065F7"/>
    <w:rsid w:val="00C212D8"/>
    <w:rsid w:val="00C234DD"/>
    <w:rsid w:val="00C4313D"/>
    <w:rsid w:val="00C55EAB"/>
    <w:rsid w:val="00C92AC9"/>
    <w:rsid w:val="00C95668"/>
    <w:rsid w:val="00CA6084"/>
    <w:rsid w:val="00CB526A"/>
    <w:rsid w:val="00CB7498"/>
    <w:rsid w:val="00CE2A7A"/>
    <w:rsid w:val="00D13BBF"/>
    <w:rsid w:val="00D5074A"/>
    <w:rsid w:val="00D6557F"/>
    <w:rsid w:val="00D821D4"/>
    <w:rsid w:val="00D93186"/>
    <w:rsid w:val="00DA3BD2"/>
    <w:rsid w:val="00DA7BED"/>
    <w:rsid w:val="00DB0854"/>
    <w:rsid w:val="00DB5451"/>
    <w:rsid w:val="00DB6B02"/>
    <w:rsid w:val="00DD290D"/>
    <w:rsid w:val="00DF33FB"/>
    <w:rsid w:val="00E12A75"/>
    <w:rsid w:val="00E12BC3"/>
    <w:rsid w:val="00E3404E"/>
    <w:rsid w:val="00E51452"/>
    <w:rsid w:val="00E56087"/>
    <w:rsid w:val="00E57274"/>
    <w:rsid w:val="00E6025A"/>
    <w:rsid w:val="00E66135"/>
    <w:rsid w:val="00E817F3"/>
    <w:rsid w:val="00EB7805"/>
    <w:rsid w:val="00ED4785"/>
    <w:rsid w:val="00EE6C1B"/>
    <w:rsid w:val="00F05C92"/>
    <w:rsid w:val="00F25016"/>
    <w:rsid w:val="00F36F22"/>
    <w:rsid w:val="00F36F67"/>
    <w:rsid w:val="00F66E93"/>
    <w:rsid w:val="00F67660"/>
    <w:rsid w:val="00F743A4"/>
    <w:rsid w:val="00F92167"/>
    <w:rsid w:val="00F93832"/>
    <w:rsid w:val="00FA1DA2"/>
    <w:rsid w:val="00FE345E"/>
    <w:rsid w:val="00FE60BC"/>
    <w:rsid w:val="39E6440A"/>
    <w:rsid w:val="684531B3"/>
    <w:rsid w:val="72E91643"/>
    <w:rsid w:val="72FA3672"/>
    <w:rsid w:val="7CD05BD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39" w:semiHidden="0" w:name="toc 3"/>
    <w:lsdException w:unhideWhenUsed="0" w:uiPriority="39" w:semiHidden="0" w:name="toc 4"/>
    <w:lsdException w:unhideWhenUsed="0" w:uiPriority="39" w:semiHidden="0" w:name="toc 5"/>
    <w:lsdException w:qFormat="1" w:unhideWhenUsed="0" w:uiPriority="39" w:semiHidden="0" w:name="toc 6"/>
    <w:lsdException w:qFormat="1"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color w:val="000000"/>
      <w:sz w:val="24"/>
      <w:lang w:val="ru-RU" w:eastAsia="ru-RU" w:bidi="ar-SA"/>
    </w:rPr>
  </w:style>
  <w:style w:type="paragraph" w:styleId="2">
    <w:name w:val="heading 1"/>
    <w:basedOn w:val="1"/>
    <w:next w:val="1"/>
    <w:link w:val="162"/>
    <w:qFormat/>
    <w:uiPriority w:val="9"/>
    <w:pPr>
      <w:keepNext/>
      <w:numPr>
        <w:ilvl w:val="0"/>
        <w:numId w:val="1"/>
      </w:numPr>
      <w:ind w:left="779" w:right="43" w:firstLine="0"/>
      <w:jc w:val="center"/>
      <w:outlineLvl w:val="0"/>
    </w:pPr>
    <w:rPr>
      <w:b/>
    </w:rPr>
  </w:style>
  <w:style w:type="paragraph" w:styleId="3">
    <w:name w:val="heading 2"/>
    <w:next w:val="1"/>
    <w:link w:val="259"/>
    <w:qFormat/>
    <w:uiPriority w:val="9"/>
    <w:pPr>
      <w:spacing w:before="120" w:after="120"/>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84"/>
    <w:qFormat/>
    <w:uiPriority w:val="9"/>
    <w:pPr>
      <w:spacing w:before="120" w:after="120"/>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254"/>
    <w:qFormat/>
    <w:uiPriority w:val="9"/>
    <w:pPr>
      <w:spacing w:before="120" w:after="120"/>
      <w:jc w:val="both"/>
      <w:outlineLvl w:val="3"/>
    </w:pPr>
    <w:rPr>
      <w:rFonts w:ascii="XO Thames" w:hAnsi="XO Thames" w:eastAsia="Times New Roman" w:cs="Times New Roman"/>
      <w:b/>
      <w:color w:val="000000"/>
      <w:sz w:val="24"/>
      <w:lang w:val="ru-RU" w:eastAsia="ru-RU" w:bidi="ar-SA"/>
    </w:rPr>
  </w:style>
  <w:style w:type="paragraph" w:styleId="6">
    <w:name w:val="heading 5"/>
    <w:basedOn w:val="1"/>
    <w:next w:val="1"/>
    <w:link w:val="149"/>
    <w:qFormat/>
    <w:uiPriority w:val="9"/>
    <w:pPr>
      <w:keepNext/>
      <w:widowControl w:val="0"/>
      <w:jc w:val="center"/>
      <w:outlineLvl w:val="4"/>
    </w:pPr>
    <w:rPr>
      <w:rFonts w:ascii="Arial" w:hAnsi="Arial"/>
    </w:rPr>
  </w:style>
  <w:style w:type="character" w:default="1" w:styleId="7">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llowedHyperlink"/>
    <w:basedOn w:val="7"/>
    <w:link w:val="10"/>
    <w:uiPriority w:val="0"/>
    <w:rPr>
      <w:color w:val="800080"/>
      <w:u w:val="single"/>
    </w:rPr>
  </w:style>
  <w:style w:type="paragraph" w:customStyle="1" w:styleId="10">
    <w:name w:val="Просмотренная гиперссылка1"/>
    <w:basedOn w:val="11"/>
    <w:link w:val="9"/>
    <w:uiPriority w:val="0"/>
    <w:rPr>
      <w:color w:val="800080"/>
      <w:u w:val="single"/>
    </w:rPr>
  </w:style>
  <w:style w:type="paragraph" w:customStyle="1" w:styleId="11">
    <w:name w:val="Основной шрифт абзаца4"/>
    <w:uiPriority w:val="0"/>
    <w:rPr>
      <w:rFonts w:ascii="Times New Roman" w:hAnsi="Times New Roman" w:eastAsia="Times New Roman" w:cs="Times New Roman"/>
      <w:color w:val="000000"/>
      <w:lang w:val="ru-RU" w:eastAsia="ru-RU" w:bidi="ar-SA"/>
    </w:rPr>
  </w:style>
  <w:style w:type="character" w:styleId="12">
    <w:name w:val="annotation reference"/>
    <w:basedOn w:val="7"/>
    <w:link w:val="13"/>
    <w:uiPriority w:val="0"/>
    <w:rPr>
      <w:sz w:val="16"/>
    </w:rPr>
  </w:style>
  <w:style w:type="paragraph" w:customStyle="1" w:styleId="13">
    <w:name w:val="Знак примечания2"/>
    <w:basedOn w:val="11"/>
    <w:link w:val="12"/>
    <w:uiPriority w:val="0"/>
    <w:rPr>
      <w:sz w:val="16"/>
    </w:rPr>
  </w:style>
  <w:style w:type="character" w:styleId="14">
    <w:name w:val="Emphasis"/>
    <w:link w:val="15"/>
    <w:uiPriority w:val="0"/>
    <w:rPr>
      <w:i/>
    </w:rPr>
  </w:style>
  <w:style w:type="paragraph" w:customStyle="1" w:styleId="15">
    <w:name w:val="Выделение1"/>
    <w:link w:val="14"/>
    <w:qFormat/>
    <w:uiPriority w:val="0"/>
    <w:rPr>
      <w:rFonts w:ascii="Times New Roman" w:hAnsi="Times New Roman" w:eastAsia="Times New Roman" w:cs="Times New Roman"/>
      <w:i/>
      <w:color w:val="000000"/>
      <w:lang w:val="ru-RU" w:eastAsia="ru-RU" w:bidi="ar-SA"/>
    </w:rPr>
  </w:style>
  <w:style w:type="character" w:styleId="16">
    <w:name w:val="Hyperlink"/>
    <w:link w:val="17"/>
    <w:uiPriority w:val="0"/>
    <w:rPr>
      <w:color w:val="0000FF"/>
      <w:u w:val="single"/>
    </w:rPr>
  </w:style>
  <w:style w:type="paragraph" w:customStyle="1" w:styleId="17">
    <w:name w:val="Гиперссылка1"/>
    <w:link w:val="16"/>
    <w:uiPriority w:val="0"/>
    <w:rPr>
      <w:rFonts w:ascii="Times New Roman" w:hAnsi="Times New Roman" w:eastAsia="Times New Roman" w:cs="Times New Roman"/>
      <w:color w:val="0000FF"/>
      <w:u w:val="single"/>
      <w:lang w:val="ru-RU" w:eastAsia="ru-RU" w:bidi="ar-SA"/>
    </w:rPr>
  </w:style>
  <w:style w:type="character" w:styleId="18">
    <w:name w:val="Strong"/>
    <w:basedOn w:val="7"/>
    <w:link w:val="19"/>
    <w:uiPriority w:val="0"/>
    <w:rPr>
      <w:b/>
    </w:rPr>
  </w:style>
  <w:style w:type="paragraph" w:customStyle="1" w:styleId="19">
    <w:name w:val="Строгий1"/>
    <w:basedOn w:val="11"/>
    <w:link w:val="18"/>
    <w:uiPriority w:val="0"/>
    <w:rPr>
      <w:b/>
    </w:rPr>
  </w:style>
  <w:style w:type="paragraph" w:styleId="20">
    <w:name w:val="Balloon Text"/>
    <w:basedOn w:val="1"/>
    <w:link w:val="223"/>
    <w:uiPriority w:val="0"/>
    <w:rPr>
      <w:rFonts w:ascii="Segoe UI" w:hAnsi="Segoe UI"/>
      <w:sz w:val="18"/>
    </w:rPr>
  </w:style>
  <w:style w:type="paragraph" w:styleId="21">
    <w:name w:val="Body Text 2"/>
    <w:basedOn w:val="1"/>
    <w:link w:val="107"/>
    <w:qFormat/>
    <w:uiPriority w:val="0"/>
    <w:pPr>
      <w:spacing w:after="120" w:line="480" w:lineRule="auto"/>
    </w:pPr>
  </w:style>
  <w:style w:type="paragraph" w:styleId="22">
    <w:name w:val="annotation text"/>
    <w:basedOn w:val="1"/>
    <w:link w:val="110"/>
    <w:uiPriority w:val="0"/>
    <w:pPr>
      <w:spacing w:before="100" w:after="100"/>
    </w:pPr>
    <w:rPr>
      <w:sz w:val="20"/>
    </w:rPr>
  </w:style>
  <w:style w:type="paragraph" w:styleId="23">
    <w:name w:val="annotation subject"/>
    <w:basedOn w:val="24"/>
    <w:next w:val="24"/>
    <w:link w:val="248"/>
    <w:uiPriority w:val="0"/>
    <w:rPr>
      <w:b/>
    </w:rPr>
  </w:style>
  <w:style w:type="paragraph" w:customStyle="1" w:styleId="24">
    <w:name w:val="Текст примечания1"/>
    <w:basedOn w:val="1"/>
    <w:link w:val="50"/>
    <w:qFormat/>
    <w:uiPriority w:val="0"/>
    <w:rPr>
      <w:sz w:val="20"/>
    </w:rPr>
  </w:style>
  <w:style w:type="paragraph" w:styleId="25">
    <w:name w:val="toc 8"/>
    <w:next w:val="1"/>
    <w:link w:val="206"/>
    <w:uiPriority w:val="39"/>
    <w:pPr>
      <w:ind w:left="1400"/>
    </w:pPr>
    <w:rPr>
      <w:rFonts w:ascii="XO Thames" w:hAnsi="XO Thames" w:eastAsia="Times New Roman" w:cs="Times New Roman"/>
      <w:color w:val="000000"/>
      <w:sz w:val="28"/>
      <w:lang w:val="ru-RU" w:eastAsia="ru-RU" w:bidi="ar-SA"/>
    </w:rPr>
  </w:style>
  <w:style w:type="paragraph" w:styleId="26">
    <w:name w:val="List Number 3"/>
    <w:basedOn w:val="1"/>
    <w:uiPriority w:val="0"/>
    <w:pPr>
      <w:numPr>
        <w:ilvl w:val="0"/>
        <w:numId w:val="2"/>
      </w:numPr>
    </w:pPr>
  </w:style>
  <w:style w:type="paragraph" w:styleId="27">
    <w:name w:val="header"/>
    <w:basedOn w:val="1"/>
    <w:link w:val="117"/>
    <w:uiPriority w:val="0"/>
    <w:pPr>
      <w:tabs>
        <w:tab w:val="center" w:pos="4677"/>
        <w:tab w:val="right" w:pos="9355"/>
      </w:tabs>
    </w:pPr>
  </w:style>
  <w:style w:type="paragraph" w:styleId="28">
    <w:name w:val="toc 9"/>
    <w:next w:val="1"/>
    <w:link w:val="195"/>
    <w:uiPriority w:val="39"/>
    <w:pPr>
      <w:ind w:left="1600"/>
    </w:pPr>
    <w:rPr>
      <w:rFonts w:ascii="XO Thames" w:hAnsi="XO Thames" w:eastAsia="Times New Roman" w:cs="Times New Roman"/>
      <w:color w:val="000000"/>
      <w:sz w:val="28"/>
      <w:lang w:val="ru-RU" w:eastAsia="ru-RU" w:bidi="ar-SA"/>
    </w:rPr>
  </w:style>
  <w:style w:type="paragraph" w:styleId="29">
    <w:name w:val="toc 7"/>
    <w:next w:val="1"/>
    <w:link w:val="68"/>
    <w:qFormat/>
    <w:uiPriority w:val="39"/>
    <w:pPr>
      <w:ind w:left="1200"/>
    </w:pPr>
    <w:rPr>
      <w:rFonts w:ascii="XO Thames" w:hAnsi="XO Thames" w:eastAsia="Times New Roman" w:cs="Times New Roman"/>
      <w:color w:val="000000"/>
      <w:sz w:val="28"/>
      <w:lang w:val="ru-RU" w:eastAsia="ru-RU" w:bidi="ar-SA"/>
    </w:rPr>
  </w:style>
  <w:style w:type="paragraph" w:styleId="30">
    <w:name w:val="Body Text"/>
    <w:basedOn w:val="1"/>
    <w:link w:val="106"/>
    <w:qFormat/>
    <w:uiPriority w:val="0"/>
    <w:pPr>
      <w:spacing w:after="120"/>
    </w:pPr>
  </w:style>
  <w:style w:type="paragraph" w:styleId="31">
    <w:name w:val="toc 1"/>
    <w:next w:val="1"/>
    <w:link w:val="172"/>
    <w:uiPriority w:val="39"/>
    <w:rPr>
      <w:rFonts w:ascii="XO Thames" w:hAnsi="XO Thames" w:eastAsia="Times New Roman" w:cs="Times New Roman"/>
      <w:b/>
      <w:color w:val="000000"/>
      <w:sz w:val="28"/>
      <w:lang w:val="ru-RU" w:eastAsia="ru-RU" w:bidi="ar-SA"/>
    </w:rPr>
  </w:style>
  <w:style w:type="paragraph" w:styleId="32">
    <w:name w:val="toc 6"/>
    <w:next w:val="1"/>
    <w:link w:val="65"/>
    <w:qFormat/>
    <w:uiPriority w:val="39"/>
    <w:pPr>
      <w:ind w:left="1000"/>
    </w:pPr>
    <w:rPr>
      <w:rFonts w:ascii="XO Thames" w:hAnsi="XO Thames" w:eastAsia="Times New Roman" w:cs="Times New Roman"/>
      <w:color w:val="000000"/>
      <w:sz w:val="28"/>
      <w:lang w:val="ru-RU" w:eastAsia="ru-RU" w:bidi="ar-SA"/>
    </w:rPr>
  </w:style>
  <w:style w:type="paragraph" w:styleId="33">
    <w:name w:val="toc 3"/>
    <w:next w:val="1"/>
    <w:link w:val="128"/>
    <w:uiPriority w:val="39"/>
    <w:pPr>
      <w:ind w:left="400"/>
    </w:pPr>
    <w:rPr>
      <w:rFonts w:ascii="XO Thames" w:hAnsi="XO Thames" w:eastAsia="Times New Roman" w:cs="Times New Roman"/>
      <w:color w:val="000000"/>
      <w:sz w:val="28"/>
      <w:lang w:val="ru-RU" w:eastAsia="ru-RU" w:bidi="ar-SA"/>
    </w:rPr>
  </w:style>
  <w:style w:type="paragraph" w:styleId="34">
    <w:name w:val="toc 2"/>
    <w:next w:val="1"/>
    <w:link w:val="53"/>
    <w:uiPriority w:val="39"/>
    <w:pPr>
      <w:ind w:left="200"/>
    </w:pPr>
    <w:rPr>
      <w:rFonts w:ascii="XO Thames" w:hAnsi="XO Thames" w:eastAsia="Times New Roman" w:cs="Times New Roman"/>
      <w:color w:val="000000"/>
      <w:sz w:val="28"/>
      <w:lang w:val="ru-RU" w:eastAsia="ru-RU" w:bidi="ar-SA"/>
    </w:rPr>
  </w:style>
  <w:style w:type="paragraph" w:styleId="35">
    <w:name w:val="toc 4"/>
    <w:next w:val="1"/>
    <w:link w:val="56"/>
    <w:uiPriority w:val="39"/>
    <w:pPr>
      <w:ind w:left="600"/>
    </w:pPr>
    <w:rPr>
      <w:rFonts w:ascii="XO Thames" w:hAnsi="XO Thames" w:eastAsia="Times New Roman" w:cs="Times New Roman"/>
      <w:color w:val="000000"/>
      <w:sz w:val="28"/>
      <w:lang w:val="ru-RU" w:eastAsia="ru-RU" w:bidi="ar-SA"/>
    </w:rPr>
  </w:style>
  <w:style w:type="paragraph" w:styleId="36">
    <w:name w:val="toc 5"/>
    <w:next w:val="1"/>
    <w:link w:val="220"/>
    <w:uiPriority w:val="39"/>
    <w:pPr>
      <w:ind w:left="800"/>
    </w:pPr>
    <w:rPr>
      <w:rFonts w:ascii="XO Thames" w:hAnsi="XO Thames" w:eastAsia="Times New Roman" w:cs="Times New Roman"/>
      <w:color w:val="000000"/>
      <w:sz w:val="28"/>
      <w:lang w:val="ru-RU" w:eastAsia="ru-RU" w:bidi="ar-SA"/>
    </w:rPr>
  </w:style>
  <w:style w:type="paragraph" w:styleId="37">
    <w:name w:val="Body Text Indent"/>
    <w:basedOn w:val="1"/>
    <w:link w:val="234"/>
    <w:uiPriority w:val="0"/>
    <w:pPr>
      <w:spacing w:after="120"/>
      <w:ind w:left="283"/>
    </w:pPr>
  </w:style>
  <w:style w:type="paragraph" w:styleId="38">
    <w:name w:val="Title"/>
    <w:next w:val="1"/>
    <w:link w:val="253"/>
    <w:qFormat/>
    <w:uiPriority w:val="10"/>
    <w:pPr>
      <w:spacing w:before="567" w:after="567"/>
      <w:jc w:val="center"/>
    </w:pPr>
    <w:rPr>
      <w:rFonts w:ascii="XO Thames" w:hAnsi="XO Thames" w:eastAsia="Times New Roman" w:cs="Times New Roman"/>
      <w:b/>
      <w:caps/>
      <w:color w:val="000000"/>
      <w:sz w:val="40"/>
      <w:lang w:val="ru-RU" w:eastAsia="ru-RU" w:bidi="ar-SA"/>
    </w:rPr>
  </w:style>
  <w:style w:type="paragraph" w:styleId="39">
    <w:name w:val="footer"/>
    <w:basedOn w:val="1"/>
    <w:link w:val="165"/>
    <w:uiPriority w:val="0"/>
    <w:pPr>
      <w:tabs>
        <w:tab w:val="center" w:pos="4677"/>
        <w:tab w:val="right" w:pos="9355"/>
      </w:tabs>
    </w:pPr>
  </w:style>
  <w:style w:type="paragraph" w:styleId="40">
    <w:name w:val="List"/>
    <w:basedOn w:val="30"/>
    <w:link w:val="211"/>
    <w:uiPriority w:val="0"/>
  </w:style>
  <w:style w:type="paragraph" w:styleId="41">
    <w:name w:val="Normal (Web)"/>
    <w:basedOn w:val="1"/>
    <w:link w:val="73"/>
    <w:uiPriority w:val="0"/>
    <w:pPr>
      <w:spacing w:beforeAutospacing="1" w:afterAutospacing="1"/>
    </w:pPr>
  </w:style>
  <w:style w:type="paragraph" w:styleId="42">
    <w:name w:val="Subtitle"/>
    <w:next w:val="1"/>
    <w:link w:val="243"/>
    <w:qFormat/>
    <w:uiPriority w:val="11"/>
    <w:pPr>
      <w:jc w:val="both"/>
    </w:pPr>
    <w:rPr>
      <w:rFonts w:ascii="XO Thames" w:hAnsi="XO Thames" w:eastAsia="Times New Roman" w:cs="Times New Roman"/>
      <w:i/>
      <w:color w:val="000000"/>
      <w:sz w:val="24"/>
      <w:lang w:val="ru-RU" w:eastAsia="ru-RU" w:bidi="ar-SA"/>
    </w:rPr>
  </w:style>
  <w:style w:type="paragraph" w:styleId="43">
    <w:name w:val="HTML Preformatted"/>
    <w:basedOn w:val="1"/>
    <w:link w:val="10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table" w:styleId="44">
    <w:name w:val="Table Grid"/>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5">
    <w:name w:val="Обычный1"/>
    <w:qFormat/>
    <w:uiPriority w:val="0"/>
    <w:rPr>
      <w:sz w:val="24"/>
    </w:rPr>
  </w:style>
  <w:style w:type="paragraph" w:customStyle="1" w:styleId="46">
    <w:name w:val="Цитата1"/>
    <w:basedOn w:val="1"/>
    <w:link w:val="47"/>
    <w:qFormat/>
    <w:uiPriority w:val="0"/>
    <w:pPr>
      <w:spacing w:line="216" w:lineRule="auto"/>
      <w:ind w:left="-851" w:right="-716" w:firstLine="760"/>
    </w:pPr>
  </w:style>
  <w:style w:type="character" w:customStyle="1" w:styleId="47">
    <w:name w:val="Цитата11"/>
    <w:basedOn w:val="45"/>
    <w:link w:val="46"/>
    <w:qFormat/>
    <w:uiPriority w:val="0"/>
    <w:rPr>
      <w:sz w:val="24"/>
    </w:rPr>
  </w:style>
  <w:style w:type="paragraph" w:customStyle="1" w:styleId="48">
    <w:name w:val="Standard"/>
    <w:link w:val="49"/>
    <w:qFormat/>
    <w:uiPriority w:val="0"/>
    <w:rPr>
      <w:rFonts w:ascii="Times New Roman" w:hAnsi="Times New Roman" w:eastAsia="Times New Roman" w:cs="Times New Roman"/>
      <w:color w:val="000000"/>
      <w:sz w:val="24"/>
      <w:lang w:val="ru-RU" w:eastAsia="ru-RU" w:bidi="ar-SA"/>
    </w:rPr>
  </w:style>
  <w:style w:type="character" w:customStyle="1" w:styleId="49">
    <w:name w:val="Standard1"/>
    <w:link w:val="48"/>
    <w:qFormat/>
    <w:uiPriority w:val="0"/>
    <w:rPr>
      <w:sz w:val="24"/>
    </w:rPr>
  </w:style>
  <w:style w:type="character" w:customStyle="1" w:styleId="50">
    <w:name w:val="Текст примечания11"/>
    <w:basedOn w:val="45"/>
    <w:link w:val="24"/>
    <w:qFormat/>
    <w:uiPriority w:val="0"/>
    <w:rPr>
      <w:sz w:val="20"/>
    </w:rPr>
  </w:style>
  <w:style w:type="paragraph" w:customStyle="1" w:styleId="51">
    <w:name w:val="WW8Num3z0"/>
    <w:link w:val="52"/>
    <w:qFormat/>
    <w:uiPriority w:val="0"/>
    <w:rPr>
      <w:rFonts w:ascii="Times New Roman" w:hAnsi="Times New Roman" w:eastAsia="Times New Roman" w:cs="Times New Roman"/>
      <w:color w:val="000000"/>
      <w:lang w:val="ru-RU" w:eastAsia="ru-RU" w:bidi="ar-SA"/>
    </w:rPr>
  </w:style>
  <w:style w:type="character" w:customStyle="1" w:styleId="52">
    <w:name w:val="WW8Num3z01"/>
    <w:link w:val="51"/>
    <w:qFormat/>
    <w:uiPriority w:val="0"/>
  </w:style>
  <w:style w:type="character" w:customStyle="1" w:styleId="53">
    <w:name w:val="Оглавление 2 Знак"/>
    <w:link w:val="34"/>
    <w:qFormat/>
    <w:uiPriority w:val="0"/>
    <w:rPr>
      <w:rFonts w:ascii="XO Thames" w:hAnsi="XO Thames"/>
      <w:sz w:val="28"/>
    </w:rPr>
  </w:style>
  <w:style w:type="paragraph" w:customStyle="1" w:styleId="54">
    <w:name w:val="xl104"/>
    <w:basedOn w:val="1"/>
    <w:link w:val="55"/>
    <w:qFormat/>
    <w:uiPriority w:val="0"/>
    <w:pPr>
      <w:spacing w:beforeAutospacing="1" w:afterAutospacing="1"/>
      <w:jc w:val="center"/>
    </w:pPr>
    <w:rPr>
      <w:sz w:val="20"/>
    </w:rPr>
  </w:style>
  <w:style w:type="character" w:customStyle="1" w:styleId="55">
    <w:name w:val="xl1041"/>
    <w:basedOn w:val="45"/>
    <w:link w:val="54"/>
    <w:uiPriority w:val="0"/>
    <w:rPr>
      <w:sz w:val="20"/>
    </w:rPr>
  </w:style>
  <w:style w:type="character" w:customStyle="1" w:styleId="56">
    <w:name w:val="Оглавление 4 Знак"/>
    <w:link w:val="35"/>
    <w:qFormat/>
    <w:uiPriority w:val="0"/>
    <w:rPr>
      <w:rFonts w:ascii="XO Thames" w:hAnsi="XO Thames"/>
      <w:sz w:val="28"/>
    </w:rPr>
  </w:style>
  <w:style w:type="paragraph" w:customStyle="1" w:styleId="57">
    <w:name w:val="Неразрешенное упоминание1"/>
    <w:link w:val="58"/>
    <w:qFormat/>
    <w:uiPriority w:val="0"/>
    <w:rPr>
      <w:rFonts w:ascii="Times New Roman" w:hAnsi="Times New Roman" w:eastAsia="Times New Roman" w:cs="Times New Roman"/>
      <w:color w:val="605E5C"/>
      <w:shd w:val="clear" w:color="auto" w:fill="E1DFDD"/>
      <w:lang w:val="ru-RU" w:eastAsia="ru-RU" w:bidi="ar-SA"/>
    </w:rPr>
  </w:style>
  <w:style w:type="character" w:customStyle="1" w:styleId="58">
    <w:name w:val="Неразрешенное упоминание11"/>
    <w:link w:val="57"/>
    <w:qFormat/>
    <w:uiPriority w:val="0"/>
    <w:rPr>
      <w:color w:val="605E5C"/>
      <w:shd w:val="clear" w:color="auto" w:fill="E1DFDD"/>
    </w:rPr>
  </w:style>
  <w:style w:type="paragraph" w:customStyle="1" w:styleId="59">
    <w:name w:val="WW8Num4z0"/>
    <w:link w:val="60"/>
    <w:qFormat/>
    <w:uiPriority w:val="0"/>
    <w:rPr>
      <w:rFonts w:ascii="Times New Roman" w:hAnsi="Times New Roman" w:eastAsia="Times New Roman" w:cs="Times New Roman"/>
      <w:color w:val="000000"/>
      <w:lang w:val="ru-RU" w:eastAsia="ru-RU" w:bidi="ar-SA"/>
    </w:rPr>
  </w:style>
  <w:style w:type="character" w:customStyle="1" w:styleId="60">
    <w:name w:val="WW8Num4z01"/>
    <w:link w:val="59"/>
    <w:uiPriority w:val="0"/>
  </w:style>
  <w:style w:type="paragraph" w:customStyle="1" w:styleId="61">
    <w:name w:val="xl115"/>
    <w:basedOn w:val="1"/>
    <w:link w:val="62"/>
    <w:qFormat/>
    <w:uiPriority w:val="0"/>
    <w:pPr>
      <w:spacing w:beforeAutospacing="1" w:afterAutospacing="1"/>
    </w:pPr>
    <w:rPr>
      <w:b/>
      <w:sz w:val="20"/>
    </w:rPr>
  </w:style>
  <w:style w:type="character" w:customStyle="1" w:styleId="62">
    <w:name w:val="xl1151"/>
    <w:basedOn w:val="45"/>
    <w:link w:val="61"/>
    <w:uiPriority w:val="0"/>
    <w:rPr>
      <w:b/>
      <w:color w:val="000000"/>
      <w:sz w:val="20"/>
    </w:rPr>
  </w:style>
  <w:style w:type="paragraph" w:customStyle="1" w:styleId="63">
    <w:name w:val="xl67"/>
    <w:basedOn w:val="1"/>
    <w:link w:val="64"/>
    <w:qFormat/>
    <w:uiPriority w:val="0"/>
    <w:pPr>
      <w:spacing w:beforeAutospacing="1" w:afterAutospacing="1"/>
      <w:jc w:val="center"/>
    </w:pPr>
    <w:rPr>
      <w:b/>
      <w:sz w:val="16"/>
    </w:rPr>
  </w:style>
  <w:style w:type="character" w:customStyle="1" w:styleId="64">
    <w:name w:val="xl671"/>
    <w:basedOn w:val="45"/>
    <w:link w:val="63"/>
    <w:uiPriority w:val="0"/>
    <w:rPr>
      <w:b/>
      <w:color w:val="000000"/>
      <w:sz w:val="16"/>
    </w:rPr>
  </w:style>
  <w:style w:type="character" w:customStyle="1" w:styleId="65">
    <w:name w:val="Оглавление 6 Знак"/>
    <w:link w:val="32"/>
    <w:qFormat/>
    <w:uiPriority w:val="0"/>
    <w:rPr>
      <w:rFonts w:ascii="XO Thames" w:hAnsi="XO Thames"/>
      <w:sz w:val="28"/>
    </w:rPr>
  </w:style>
  <w:style w:type="paragraph" w:customStyle="1" w:styleId="66">
    <w:name w:val="Знак примечания1"/>
    <w:link w:val="67"/>
    <w:qFormat/>
    <w:uiPriority w:val="0"/>
    <w:rPr>
      <w:rFonts w:ascii="Times New Roman" w:hAnsi="Times New Roman" w:eastAsia="Times New Roman" w:cs="Times New Roman"/>
      <w:color w:val="000000"/>
      <w:sz w:val="16"/>
      <w:lang w:val="ru-RU" w:eastAsia="ru-RU" w:bidi="ar-SA"/>
    </w:rPr>
  </w:style>
  <w:style w:type="character" w:customStyle="1" w:styleId="67">
    <w:name w:val="Знак примечания11"/>
    <w:link w:val="66"/>
    <w:uiPriority w:val="0"/>
    <w:rPr>
      <w:sz w:val="16"/>
    </w:rPr>
  </w:style>
  <w:style w:type="character" w:customStyle="1" w:styleId="68">
    <w:name w:val="Оглавление 7 Знак"/>
    <w:link w:val="29"/>
    <w:qFormat/>
    <w:uiPriority w:val="0"/>
    <w:rPr>
      <w:rFonts w:ascii="XO Thames" w:hAnsi="XO Thames"/>
      <w:sz w:val="28"/>
    </w:rPr>
  </w:style>
  <w:style w:type="paragraph" w:customStyle="1" w:styleId="69">
    <w:name w:val="xl103"/>
    <w:basedOn w:val="1"/>
    <w:link w:val="70"/>
    <w:qFormat/>
    <w:uiPriority w:val="0"/>
    <w:pPr>
      <w:spacing w:beforeAutospacing="1" w:afterAutospacing="1"/>
      <w:jc w:val="center"/>
    </w:pPr>
    <w:rPr>
      <w:sz w:val="20"/>
    </w:rPr>
  </w:style>
  <w:style w:type="character" w:customStyle="1" w:styleId="70">
    <w:name w:val="xl1031"/>
    <w:basedOn w:val="45"/>
    <w:link w:val="69"/>
    <w:qFormat/>
    <w:uiPriority w:val="0"/>
    <w:rPr>
      <w:color w:val="000000"/>
      <w:sz w:val="20"/>
    </w:rPr>
  </w:style>
  <w:style w:type="paragraph" w:customStyle="1" w:styleId="71">
    <w:name w:val="ConsPlusNormal"/>
    <w:link w:val="72"/>
    <w:qFormat/>
    <w:uiPriority w:val="0"/>
    <w:pPr>
      <w:widowControl w:val="0"/>
      <w:ind w:firstLine="720"/>
    </w:pPr>
    <w:rPr>
      <w:rFonts w:ascii="Arial" w:hAnsi="Arial" w:eastAsia="Times New Roman" w:cs="Times New Roman"/>
      <w:color w:val="000000"/>
      <w:lang w:val="ru-RU" w:eastAsia="ru-RU" w:bidi="ar-SA"/>
    </w:rPr>
  </w:style>
  <w:style w:type="character" w:customStyle="1" w:styleId="72">
    <w:name w:val="ConsPlusNormal1"/>
    <w:link w:val="71"/>
    <w:uiPriority w:val="0"/>
    <w:rPr>
      <w:rFonts w:ascii="Arial" w:hAnsi="Arial"/>
    </w:rPr>
  </w:style>
  <w:style w:type="character" w:customStyle="1" w:styleId="73">
    <w:name w:val="Обычный (Интернет) Знак"/>
    <w:basedOn w:val="45"/>
    <w:link w:val="41"/>
    <w:uiPriority w:val="0"/>
    <w:rPr>
      <w:color w:val="000000"/>
      <w:sz w:val="24"/>
    </w:rPr>
  </w:style>
  <w:style w:type="paragraph" w:customStyle="1" w:styleId="74">
    <w:name w:val="Default"/>
    <w:link w:val="75"/>
    <w:qFormat/>
    <w:uiPriority w:val="0"/>
    <w:rPr>
      <w:rFonts w:ascii="Times New Roman" w:hAnsi="Times New Roman" w:eastAsia="Times New Roman" w:cs="Times New Roman"/>
      <w:color w:val="000000"/>
      <w:sz w:val="24"/>
      <w:lang w:val="ru-RU" w:eastAsia="ru-RU" w:bidi="ar-SA"/>
    </w:rPr>
  </w:style>
  <w:style w:type="character" w:customStyle="1" w:styleId="75">
    <w:name w:val="Default1"/>
    <w:link w:val="74"/>
    <w:qFormat/>
    <w:uiPriority w:val="0"/>
    <w:rPr>
      <w:sz w:val="24"/>
    </w:rPr>
  </w:style>
  <w:style w:type="paragraph" w:customStyle="1" w:styleId="76">
    <w:name w:val="Заголовок2"/>
    <w:basedOn w:val="1"/>
    <w:next w:val="30"/>
    <w:link w:val="77"/>
    <w:qFormat/>
    <w:uiPriority w:val="0"/>
    <w:pPr>
      <w:keepNext/>
      <w:spacing w:before="240" w:after="120"/>
    </w:pPr>
    <w:rPr>
      <w:rFonts w:ascii="Arial" w:hAnsi="Arial"/>
      <w:sz w:val="28"/>
    </w:rPr>
  </w:style>
  <w:style w:type="character" w:customStyle="1" w:styleId="77">
    <w:name w:val="Заголовок21"/>
    <w:basedOn w:val="45"/>
    <w:link w:val="76"/>
    <w:uiPriority w:val="0"/>
    <w:rPr>
      <w:rFonts w:ascii="Arial" w:hAnsi="Arial"/>
      <w:sz w:val="28"/>
    </w:rPr>
  </w:style>
  <w:style w:type="paragraph" w:customStyle="1" w:styleId="78">
    <w:name w:val="xl65"/>
    <w:basedOn w:val="1"/>
    <w:link w:val="79"/>
    <w:qFormat/>
    <w:uiPriority w:val="0"/>
    <w:pPr>
      <w:spacing w:beforeAutospacing="1" w:afterAutospacing="1"/>
      <w:jc w:val="center"/>
    </w:pPr>
    <w:rPr>
      <w:b/>
      <w:sz w:val="16"/>
    </w:rPr>
  </w:style>
  <w:style w:type="character" w:customStyle="1" w:styleId="79">
    <w:name w:val="xl651"/>
    <w:basedOn w:val="45"/>
    <w:link w:val="78"/>
    <w:qFormat/>
    <w:uiPriority w:val="0"/>
    <w:rPr>
      <w:b/>
      <w:sz w:val="16"/>
    </w:rPr>
  </w:style>
  <w:style w:type="paragraph" w:customStyle="1" w:styleId="80">
    <w:name w:val="xl106"/>
    <w:basedOn w:val="1"/>
    <w:link w:val="81"/>
    <w:qFormat/>
    <w:uiPriority w:val="0"/>
    <w:pPr>
      <w:spacing w:beforeAutospacing="1" w:afterAutospacing="1"/>
      <w:jc w:val="center"/>
    </w:pPr>
    <w:rPr>
      <w:sz w:val="20"/>
    </w:rPr>
  </w:style>
  <w:style w:type="character" w:customStyle="1" w:styleId="81">
    <w:name w:val="xl1061"/>
    <w:basedOn w:val="45"/>
    <w:link w:val="80"/>
    <w:qFormat/>
    <w:uiPriority w:val="0"/>
    <w:rPr>
      <w:color w:val="000000"/>
      <w:sz w:val="20"/>
    </w:rPr>
  </w:style>
  <w:style w:type="paragraph" w:customStyle="1" w:styleId="82">
    <w:name w:val="заголовок 1"/>
    <w:basedOn w:val="1"/>
    <w:next w:val="1"/>
    <w:link w:val="83"/>
    <w:uiPriority w:val="0"/>
    <w:pPr>
      <w:keepNext/>
      <w:widowControl w:val="0"/>
      <w:jc w:val="center"/>
    </w:pPr>
    <w:rPr>
      <w:b/>
      <w:sz w:val="22"/>
    </w:rPr>
  </w:style>
  <w:style w:type="character" w:customStyle="1" w:styleId="83">
    <w:name w:val="заголовок 112"/>
    <w:basedOn w:val="45"/>
    <w:link w:val="82"/>
    <w:uiPriority w:val="0"/>
    <w:rPr>
      <w:b/>
      <w:sz w:val="22"/>
    </w:rPr>
  </w:style>
  <w:style w:type="character" w:customStyle="1" w:styleId="84">
    <w:name w:val="Заголовок 3 Знак"/>
    <w:link w:val="4"/>
    <w:uiPriority w:val="0"/>
    <w:rPr>
      <w:rFonts w:ascii="XO Thames" w:hAnsi="XO Thames"/>
      <w:b/>
      <w:sz w:val="26"/>
    </w:rPr>
  </w:style>
  <w:style w:type="paragraph" w:customStyle="1" w:styleId="85">
    <w:name w:val="xl108"/>
    <w:basedOn w:val="1"/>
    <w:link w:val="86"/>
    <w:uiPriority w:val="0"/>
    <w:pPr>
      <w:spacing w:beforeAutospacing="1" w:afterAutospacing="1"/>
      <w:jc w:val="center"/>
    </w:pPr>
  </w:style>
  <w:style w:type="character" w:customStyle="1" w:styleId="86">
    <w:name w:val="xl1081"/>
    <w:basedOn w:val="45"/>
    <w:link w:val="85"/>
    <w:uiPriority w:val="0"/>
    <w:rPr>
      <w:color w:val="000000"/>
      <w:sz w:val="24"/>
    </w:rPr>
  </w:style>
  <w:style w:type="paragraph" w:customStyle="1" w:styleId="87">
    <w:name w:val="Основной шрифт абзаца2"/>
    <w:link w:val="88"/>
    <w:qFormat/>
    <w:uiPriority w:val="0"/>
    <w:rPr>
      <w:rFonts w:ascii="Times New Roman" w:hAnsi="Times New Roman" w:eastAsia="Times New Roman" w:cs="Times New Roman"/>
      <w:color w:val="000000"/>
      <w:lang w:val="ru-RU" w:eastAsia="ru-RU" w:bidi="ar-SA"/>
    </w:rPr>
  </w:style>
  <w:style w:type="character" w:customStyle="1" w:styleId="88">
    <w:name w:val="Основной шрифт абзаца21"/>
    <w:link w:val="87"/>
    <w:uiPriority w:val="0"/>
  </w:style>
  <w:style w:type="paragraph" w:customStyle="1" w:styleId="89">
    <w:name w:val="Маркированный список 31"/>
    <w:basedOn w:val="1"/>
    <w:link w:val="90"/>
    <w:uiPriority w:val="0"/>
    <w:pPr>
      <w:tabs>
        <w:tab w:val="left" w:pos="926"/>
      </w:tabs>
      <w:ind w:left="926"/>
    </w:pPr>
  </w:style>
  <w:style w:type="character" w:customStyle="1" w:styleId="90">
    <w:name w:val="Маркированный список 311"/>
    <w:basedOn w:val="45"/>
    <w:link w:val="89"/>
    <w:uiPriority w:val="0"/>
    <w:rPr>
      <w:sz w:val="24"/>
    </w:rPr>
  </w:style>
  <w:style w:type="paragraph" w:customStyle="1" w:styleId="91">
    <w:name w:val="xl66"/>
    <w:basedOn w:val="1"/>
    <w:link w:val="92"/>
    <w:qFormat/>
    <w:uiPriority w:val="0"/>
    <w:pPr>
      <w:spacing w:beforeAutospacing="1" w:afterAutospacing="1"/>
      <w:jc w:val="center"/>
    </w:pPr>
    <w:rPr>
      <w:b/>
      <w:sz w:val="16"/>
    </w:rPr>
  </w:style>
  <w:style w:type="character" w:customStyle="1" w:styleId="92">
    <w:name w:val="xl661"/>
    <w:basedOn w:val="45"/>
    <w:link w:val="91"/>
    <w:uiPriority w:val="0"/>
    <w:rPr>
      <w:b/>
      <w:sz w:val="16"/>
    </w:rPr>
  </w:style>
  <w:style w:type="paragraph" w:customStyle="1" w:styleId="93">
    <w:name w:val="xl78"/>
    <w:basedOn w:val="1"/>
    <w:link w:val="94"/>
    <w:uiPriority w:val="0"/>
    <w:pPr>
      <w:spacing w:beforeAutospacing="1" w:afterAutospacing="1"/>
      <w:jc w:val="center"/>
    </w:pPr>
    <w:rPr>
      <w:sz w:val="16"/>
    </w:rPr>
  </w:style>
  <w:style w:type="character" w:customStyle="1" w:styleId="94">
    <w:name w:val="xl781"/>
    <w:basedOn w:val="45"/>
    <w:link w:val="93"/>
    <w:qFormat/>
    <w:uiPriority w:val="0"/>
    <w:rPr>
      <w:color w:val="000000"/>
      <w:sz w:val="16"/>
    </w:rPr>
  </w:style>
  <w:style w:type="paragraph" w:customStyle="1" w:styleId="95">
    <w:name w:val="Основной шрифт абзаца1"/>
    <w:link w:val="96"/>
    <w:qFormat/>
    <w:uiPriority w:val="0"/>
    <w:rPr>
      <w:rFonts w:ascii="Times New Roman" w:hAnsi="Times New Roman" w:eastAsia="Times New Roman" w:cs="Times New Roman"/>
      <w:color w:val="000000"/>
      <w:lang w:val="ru-RU" w:eastAsia="ru-RU" w:bidi="ar-SA"/>
    </w:rPr>
  </w:style>
  <w:style w:type="character" w:customStyle="1" w:styleId="96">
    <w:name w:val="Основной шрифт абзаца11"/>
    <w:link w:val="95"/>
    <w:uiPriority w:val="0"/>
  </w:style>
  <w:style w:type="paragraph" w:customStyle="1" w:styleId="97">
    <w:name w:val="xl107"/>
    <w:basedOn w:val="1"/>
    <w:link w:val="98"/>
    <w:qFormat/>
    <w:uiPriority w:val="0"/>
    <w:pPr>
      <w:spacing w:beforeAutospacing="1" w:afterAutospacing="1"/>
      <w:jc w:val="center"/>
    </w:pPr>
    <w:rPr>
      <w:sz w:val="20"/>
    </w:rPr>
  </w:style>
  <w:style w:type="character" w:customStyle="1" w:styleId="98">
    <w:name w:val="xl1071"/>
    <w:basedOn w:val="45"/>
    <w:link w:val="97"/>
    <w:uiPriority w:val="0"/>
    <w:rPr>
      <w:sz w:val="20"/>
    </w:rPr>
  </w:style>
  <w:style w:type="paragraph" w:customStyle="1" w:styleId="99">
    <w:name w:val="xl76"/>
    <w:basedOn w:val="1"/>
    <w:link w:val="100"/>
    <w:qFormat/>
    <w:uiPriority w:val="0"/>
    <w:pPr>
      <w:spacing w:beforeAutospacing="1" w:afterAutospacing="1"/>
      <w:jc w:val="center"/>
    </w:pPr>
    <w:rPr>
      <w:sz w:val="16"/>
    </w:rPr>
  </w:style>
  <w:style w:type="character" w:customStyle="1" w:styleId="100">
    <w:name w:val="xl761"/>
    <w:basedOn w:val="45"/>
    <w:link w:val="99"/>
    <w:uiPriority w:val="0"/>
    <w:rPr>
      <w:color w:val="000000"/>
      <w:sz w:val="16"/>
    </w:rPr>
  </w:style>
  <w:style w:type="character" w:customStyle="1" w:styleId="101">
    <w:name w:val="Стандартный HTML Знак"/>
    <w:basedOn w:val="45"/>
    <w:link w:val="43"/>
    <w:qFormat/>
    <w:uiPriority w:val="99"/>
    <w:rPr>
      <w:rFonts w:ascii="Courier New" w:hAnsi="Courier New"/>
      <w:color w:val="000000"/>
      <w:sz w:val="20"/>
    </w:rPr>
  </w:style>
  <w:style w:type="paragraph" w:customStyle="1" w:styleId="102">
    <w:name w:val="xl75"/>
    <w:basedOn w:val="1"/>
    <w:link w:val="103"/>
    <w:qFormat/>
    <w:uiPriority w:val="0"/>
    <w:pPr>
      <w:spacing w:beforeAutospacing="1" w:afterAutospacing="1"/>
      <w:jc w:val="center"/>
    </w:pPr>
    <w:rPr>
      <w:sz w:val="16"/>
    </w:rPr>
  </w:style>
  <w:style w:type="character" w:customStyle="1" w:styleId="103">
    <w:name w:val="xl751"/>
    <w:basedOn w:val="45"/>
    <w:link w:val="102"/>
    <w:uiPriority w:val="0"/>
    <w:rPr>
      <w:color w:val="000000"/>
      <w:sz w:val="16"/>
    </w:rPr>
  </w:style>
  <w:style w:type="paragraph" w:customStyle="1" w:styleId="104">
    <w:name w:val="xl105"/>
    <w:basedOn w:val="1"/>
    <w:link w:val="105"/>
    <w:uiPriority w:val="0"/>
    <w:pPr>
      <w:spacing w:beforeAutospacing="1" w:afterAutospacing="1"/>
      <w:jc w:val="center"/>
    </w:pPr>
    <w:rPr>
      <w:sz w:val="20"/>
    </w:rPr>
  </w:style>
  <w:style w:type="character" w:customStyle="1" w:styleId="105">
    <w:name w:val="xl1051"/>
    <w:basedOn w:val="45"/>
    <w:link w:val="104"/>
    <w:qFormat/>
    <w:uiPriority w:val="0"/>
    <w:rPr>
      <w:color w:val="000000"/>
      <w:sz w:val="20"/>
    </w:rPr>
  </w:style>
  <w:style w:type="character" w:customStyle="1" w:styleId="106">
    <w:name w:val="Основной текст Знак1"/>
    <w:basedOn w:val="45"/>
    <w:link w:val="30"/>
    <w:uiPriority w:val="0"/>
    <w:rPr>
      <w:sz w:val="24"/>
    </w:rPr>
  </w:style>
  <w:style w:type="character" w:customStyle="1" w:styleId="107">
    <w:name w:val="Основной текст 2 Знак1"/>
    <w:basedOn w:val="45"/>
    <w:link w:val="21"/>
    <w:uiPriority w:val="0"/>
    <w:rPr>
      <w:sz w:val="24"/>
    </w:rPr>
  </w:style>
  <w:style w:type="paragraph" w:customStyle="1" w:styleId="108">
    <w:name w:val="Обычный11"/>
    <w:link w:val="109"/>
    <w:uiPriority w:val="0"/>
    <w:rPr>
      <w:rFonts w:ascii="Times New Roman" w:hAnsi="Times New Roman" w:eastAsia="Times New Roman" w:cs="Times New Roman"/>
      <w:color w:val="000000"/>
      <w:sz w:val="24"/>
      <w:lang w:val="ru-RU" w:eastAsia="ru-RU" w:bidi="ar-SA"/>
    </w:rPr>
  </w:style>
  <w:style w:type="character" w:customStyle="1" w:styleId="109">
    <w:name w:val="Обычный12"/>
    <w:link w:val="108"/>
    <w:qFormat/>
    <w:uiPriority w:val="0"/>
    <w:rPr>
      <w:sz w:val="24"/>
    </w:rPr>
  </w:style>
  <w:style w:type="character" w:customStyle="1" w:styleId="110">
    <w:name w:val="Текст примечания Знак2"/>
    <w:basedOn w:val="45"/>
    <w:link w:val="22"/>
    <w:qFormat/>
    <w:uiPriority w:val="0"/>
    <w:rPr>
      <w:color w:val="000000"/>
      <w:sz w:val="20"/>
    </w:rPr>
  </w:style>
  <w:style w:type="paragraph" w:customStyle="1" w:styleId="111">
    <w:name w:val="Основной шрифт абзаца22"/>
    <w:link w:val="112"/>
    <w:qFormat/>
    <w:uiPriority w:val="0"/>
    <w:rPr>
      <w:rFonts w:ascii="Times New Roman" w:hAnsi="Times New Roman" w:eastAsia="Times New Roman" w:cs="Times New Roman"/>
      <w:color w:val="000000"/>
      <w:lang w:val="ru-RU" w:eastAsia="ru-RU" w:bidi="ar-SA"/>
    </w:rPr>
  </w:style>
  <w:style w:type="character" w:customStyle="1" w:styleId="112">
    <w:name w:val="Основной шрифт абзаца23"/>
    <w:link w:val="111"/>
    <w:uiPriority w:val="0"/>
  </w:style>
  <w:style w:type="paragraph" w:customStyle="1" w:styleId="113">
    <w:name w:val="Название объекта1"/>
    <w:basedOn w:val="1"/>
    <w:link w:val="114"/>
    <w:uiPriority w:val="0"/>
    <w:pPr>
      <w:spacing w:before="120" w:after="120"/>
    </w:pPr>
    <w:rPr>
      <w:i/>
    </w:rPr>
  </w:style>
  <w:style w:type="character" w:customStyle="1" w:styleId="114">
    <w:name w:val="Название объекта11"/>
    <w:basedOn w:val="45"/>
    <w:link w:val="113"/>
    <w:uiPriority w:val="0"/>
    <w:rPr>
      <w:i/>
      <w:sz w:val="24"/>
    </w:rPr>
  </w:style>
  <w:style w:type="paragraph" w:customStyle="1" w:styleId="115">
    <w:name w:val="Текст примечания Знак1"/>
    <w:basedOn w:val="11"/>
    <w:link w:val="116"/>
    <w:uiPriority w:val="0"/>
  </w:style>
  <w:style w:type="character" w:customStyle="1" w:styleId="116">
    <w:name w:val="Текст примечания Знак11"/>
    <w:basedOn w:val="7"/>
    <w:link w:val="115"/>
    <w:uiPriority w:val="0"/>
  </w:style>
  <w:style w:type="character" w:customStyle="1" w:styleId="117">
    <w:name w:val="Верхний колонтитул Знак"/>
    <w:basedOn w:val="45"/>
    <w:link w:val="27"/>
    <w:uiPriority w:val="0"/>
    <w:rPr>
      <w:sz w:val="24"/>
    </w:rPr>
  </w:style>
  <w:style w:type="paragraph" w:customStyle="1" w:styleId="118">
    <w:name w:val="WW8Num1z0"/>
    <w:link w:val="119"/>
    <w:uiPriority w:val="0"/>
    <w:rPr>
      <w:rFonts w:ascii="Times New Roman" w:hAnsi="Times New Roman" w:eastAsia="Times New Roman" w:cs="Times New Roman"/>
      <w:b/>
      <w:color w:val="000000"/>
      <w:sz w:val="24"/>
      <w:lang w:val="ru-RU" w:eastAsia="ru-RU" w:bidi="ar-SA"/>
    </w:rPr>
  </w:style>
  <w:style w:type="character" w:customStyle="1" w:styleId="119">
    <w:name w:val="WW8Num1z01"/>
    <w:link w:val="118"/>
    <w:uiPriority w:val="0"/>
    <w:rPr>
      <w:b/>
      <w:sz w:val="24"/>
    </w:rPr>
  </w:style>
  <w:style w:type="paragraph" w:customStyle="1" w:styleId="120">
    <w:name w:val="frac"/>
    <w:basedOn w:val="11"/>
    <w:link w:val="121"/>
    <w:uiPriority w:val="0"/>
  </w:style>
  <w:style w:type="character" w:customStyle="1" w:styleId="121">
    <w:name w:val="frac1"/>
    <w:basedOn w:val="7"/>
    <w:link w:val="120"/>
    <w:uiPriority w:val="0"/>
  </w:style>
  <w:style w:type="paragraph" w:customStyle="1" w:styleId="122">
    <w:name w:val="WW8Num5z1"/>
    <w:link w:val="123"/>
    <w:uiPriority w:val="0"/>
    <w:rPr>
      <w:rFonts w:ascii="Times New Roman" w:hAnsi="Times New Roman" w:eastAsia="Times New Roman" w:cs="Times New Roman"/>
      <w:color w:val="000000"/>
      <w:lang w:val="ru-RU" w:eastAsia="ru-RU" w:bidi="ar-SA"/>
    </w:rPr>
  </w:style>
  <w:style w:type="character" w:customStyle="1" w:styleId="123">
    <w:name w:val="WW8Num5z11"/>
    <w:link w:val="122"/>
    <w:uiPriority w:val="0"/>
  </w:style>
  <w:style w:type="paragraph" w:customStyle="1" w:styleId="124">
    <w:name w:val="xl109"/>
    <w:basedOn w:val="1"/>
    <w:link w:val="125"/>
    <w:uiPriority w:val="0"/>
    <w:pPr>
      <w:spacing w:beforeAutospacing="1" w:afterAutospacing="1"/>
      <w:jc w:val="center"/>
    </w:pPr>
  </w:style>
  <w:style w:type="character" w:customStyle="1" w:styleId="125">
    <w:name w:val="xl1091"/>
    <w:basedOn w:val="45"/>
    <w:link w:val="124"/>
    <w:uiPriority w:val="0"/>
    <w:rPr>
      <w:color w:val="000000"/>
      <w:sz w:val="24"/>
    </w:rPr>
  </w:style>
  <w:style w:type="paragraph" w:customStyle="1" w:styleId="126">
    <w:name w:val="Выделение11"/>
    <w:link w:val="127"/>
    <w:uiPriority w:val="0"/>
    <w:rPr>
      <w:rFonts w:ascii="Times New Roman" w:hAnsi="Times New Roman" w:eastAsia="Times New Roman" w:cs="Times New Roman"/>
      <w:i/>
      <w:color w:val="000000"/>
      <w:lang w:val="ru-RU" w:eastAsia="ru-RU" w:bidi="ar-SA"/>
    </w:rPr>
  </w:style>
  <w:style w:type="character" w:customStyle="1" w:styleId="127">
    <w:name w:val="Выделение12"/>
    <w:link w:val="126"/>
    <w:uiPriority w:val="0"/>
    <w:rPr>
      <w:i/>
    </w:rPr>
  </w:style>
  <w:style w:type="character" w:customStyle="1" w:styleId="128">
    <w:name w:val="Оглавление 3 Знак"/>
    <w:link w:val="33"/>
    <w:uiPriority w:val="0"/>
    <w:rPr>
      <w:rFonts w:ascii="XO Thames" w:hAnsi="XO Thames"/>
      <w:sz w:val="28"/>
    </w:rPr>
  </w:style>
  <w:style w:type="paragraph" w:customStyle="1" w:styleId="129">
    <w:name w:val="WW8Num2z0"/>
    <w:link w:val="130"/>
    <w:uiPriority w:val="0"/>
    <w:rPr>
      <w:rFonts w:ascii="Times New Roman" w:hAnsi="Times New Roman" w:eastAsia="Times New Roman" w:cs="Times New Roman"/>
      <w:b/>
      <w:i/>
      <w:color w:val="000000"/>
      <w:lang w:val="ru-RU" w:eastAsia="ru-RU" w:bidi="ar-SA"/>
    </w:rPr>
  </w:style>
  <w:style w:type="character" w:customStyle="1" w:styleId="130">
    <w:name w:val="WW8Num2z01"/>
    <w:link w:val="129"/>
    <w:uiPriority w:val="0"/>
    <w:rPr>
      <w:b/>
      <w:i/>
    </w:rPr>
  </w:style>
  <w:style w:type="paragraph" w:customStyle="1" w:styleId="131">
    <w:name w:val="Пункт б/н"/>
    <w:basedOn w:val="1"/>
    <w:link w:val="132"/>
    <w:uiPriority w:val="0"/>
    <w:pPr>
      <w:tabs>
        <w:tab w:val="left" w:pos="1134"/>
      </w:tabs>
      <w:spacing w:line="360" w:lineRule="auto"/>
      <w:ind w:firstLine="567"/>
      <w:jc w:val="both"/>
    </w:pPr>
    <w:rPr>
      <w:sz w:val="22"/>
    </w:rPr>
  </w:style>
  <w:style w:type="character" w:customStyle="1" w:styleId="132">
    <w:name w:val="Пункт б/н1"/>
    <w:basedOn w:val="45"/>
    <w:link w:val="131"/>
    <w:uiPriority w:val="0"/>
    <w:rPr>
      <w:sz w:val="22"/>
    </w:rPr>
  </w:style>
  <w:style w:type="paragraph" w:customStyle="1" w:styleId="133">
    <w:name w:val="xl70"/>
    <w:basedOn w:val="1"/>
    <w:link w:val="134"/>
    <w:uiPriority w:val="0"/>
    <w:pPr>
      <w:spacing w:beforeAutospacing="1" w:afterAutospacing="1"/>
      <w:jc w:val="center"/>
    </w:pPr>
    <w:rPr>
      <w:b/>
      <w:sz w:val="16"/>
    </w:rPr>
  </w:style>
  <w:style w:type="character" w:customStyle="1" w:styleId="134">
    <w:name w:val="xl701"/>
    <w:basedOn w:val="45"/>
    <w:link w:val="133"/>
    <w:uiPriority w:val="0"/>
    <w:rPr>
      <w:b/>
      <w:color w:val="000000"/>
      <w:sz w:val="16"/>
    </w:rPr>
  </w:style>
  <w:style w:type="paragraph" w:customStyle="1" w:styleId="135">
    <w:name w:val="Основной текст 21"/>
    <w:basedOn w:val="1"/>
    <w:link w:val="136"/>
    <w:uiPriority w:val="0"/>
    <w:pPr>
      <w:spacing w:after="120" w:line="480" w:lineRule="auto"/>
    </w:pPr>
  </w:style>
  <w:style w:type="character" w:customStyle="1" w:styleId="136">
    <w:name w:val="Основной текст 211"/>
    <w:basedOn w:val="45"/>
    <w:link w:val="135"/>
    <w:uiPriority w:val="0"/>
    <w:rPr>
      <w:sz w:val="24"/>
    </w:rPr>
  </w:style>
  <w:style w:type="paragraph" w:customStyle="1" w:styleId="137">
    <w:name w:val="заголовок 111"/>
    <w:basedOn w:val="1"/>
    <w:next w:val="1"/>
    <w:link w:val="138"/>
    <w:uiPriority w:val="0"/>
    <w:pPr>
      <w:keepNext/>
      <w:jc w:val="center"/>
    </w:pPr>
  </w:style>
  <w:style w:type="character" w:customStyle="1" w:styleId="138">
    <w:name w:val="заголовок 11"/>
    <w:basedOn w:val="45"/>
    <w:link w:val="137"/>
    <w:uiPriority w:val="0"/>
    <w:rPr>
      <w:sz w:val="24"/>
    </w:rPr>
  </w:style>
  <w:style w:type="paragraph" w:customStyle="1" w:styleId="139">
    <w:name w:val="xl99"/>
    <w:basedOn w:val="1"/>
    <w:link w:val="140"/>
    <w:uiPriority w:val="0"/>
    <w:pPr>
      <w:spacing w:beforeAutospacing="1" w:afterAutospacing="1"/>
      <w:jc w:val="center"/>
    </w:pPr>
  </w:style>
  <w:style w:type="character" w:customStyle="1" w:styleId="140">
    <w:name w:val="xl991"/>
    <w:basedOn w:val="45"/>
    <w:link w:val="139"/>
    <w:uiPriority w:val="0"/>
    <w:rPr>
      <w:sz w:val="24"/>
    </w:rPr>
  </w:style>
  <w:style w:type="paragraph" w:customStyle="1" w:styleId="141">
    <w:name w:val="Содержимое врезки"/>
    <w:basedOn w:val="1"/>
    <w:link w:val="142"/>
    <w:uiPriority w:val="0"/>
  </w:style>
  <w:style w:type="character" w:customStyle="1" w:styleId="142">
    <w:name w:val="Содержимое врезки1"/>
    <w:basedOn w:val="45"/>
    <w:link w:val="141"/>
    <w:uiPriority w:val="0"/>
    <w:rPr>
      <w:sz w:val="24"/>
    </w:rPr>
  </w:style>
  <w:style w:type="paragraph" w:customStyle="1" w:styleId="143">
    <w:name w:val="Текст примечания Знак"/>
    <w:link w:val="144"/>
    <w:uiPriority w:val="0"/>
    <w:rPr>
      <w:rFonts w:ascii="Times New Roman" w:hAnsi="Times New Roman" w:eastAsia="Times New Roman" w:cs="Times New Roman"/>
      <w:color w:val="000000"/>
      <w:lang w:val="ru-RU" w:eastAsia="ru-RU" w:bidi="ar-SA"/>
    </w:rPr>
  </w:style>
  <w:style w:type="character" w:customStyle="1" w:styleId="144">
    <w:name w:val="Текст примечания Знак3"/>
    <w:link w:val="143"/>
    <w:uiPriority w:val="0"/>
  </w:style>
  <w:style w:type="paragraph" w:customStyle="1" w:styleId="145">
    <w:name w:val="Знак Знак Char Char Знак Знак Char Char Знак Знак Знак Знак Знак Знак"/>
    <w:basedOn w:val="1"/>
    <w:link w:val="146"/>
    <w:uiPriority w:val="0"/>
    <w:pPr>
      <w:spacing w:after="160" w:line="240" w:lineRule="exact"/>
    </w:pPr>
    <w:rPr>
      <w:rFonts w:ascii="Verdana" w:hAnsi="Verdana"/>
    </w:rPr>
  </w:style>
  <w:style w:type="character" w:customStyle="1" w:styleId="146">
    <w:name w:val="Знак Знак Char Char Знак Знак Char Char Знак Знак Знак Знак Знак Знак1"/>
    <w:basedOn w:val="45"/>
    <w:link w:val="145"/>
    <w:uiPriority w:val="0"/>
    <w:rPr>
      <w:rFonts w:ascii="Verdana" w:hAnsi="Verdana"/>
      <w:sz w:val="24"/>
    </w:rPr>
  </w:style>
  <w:style w:type="paragraph" w:customStyle="1" w:styleId="147">
    <w:name w:val="bold-text"/>
    <w:basedOn w:val="11"/>
    <w:link w:val="148"/>
    <w:uiPriority w:val="0"/>
  </w:style>
  <w:style w:type="character" w:customStyle="1" w:styleId="148">
    <w:name w:val="bold-text1"/>
    <w:basedOn w:val="7"/>
    <w:link w:val="147"/>
    <w:uiPriority w:val="0"/>
  </w:style>
  <w:style w:type="character" w:customStyle="1" w:styleId="149">
    <w:name w:val="Заголовок 5 Знак"/>
    <w:basedOn w:val="45"/>
    <w:link w:val="6"/>
    <w:uiPriority w:val="0"/>
    <w:rPr>
      <w:rFonts w:ascii="Arial" w:hAnsi="Arial"/>
      <w:sz w:val="24"/>
    </w:rPr>
  </w:style>
  <w:style w:type="paragraph" w:customStyle="1" w:styleId="150">
    <w:name w:val="Основной текст Знак"/>
    <w:link w:val="151"/>
    <w:uiPriority w:val="0"/>
    <w:rPr>
      <w:rFonts w:ascii="Times New Roman" w:hAnsi="Times New Roman" w:eastAsia="Times New Roman" w:cs="Times New Roman"/>
      <w:color w:val="000000"/>
      <w:sz w:val="24"/>
      <w:lang w:val="ru-RU" w:eastAsia="ru-RU" w:bidi="ar-SA"/>
    </w:rPr>
  </w:style>
  <w:style w:type="character" w:customStyle="1" w:styleId="151">
    <w:name w:val="Основной текст Знак2"/>
    <w:link w:val="150"/>
    <w:qFormat/>
    <w:uiPriority w:val="0"/>
    <w:rPr>
      <w:sz w:val="24"/>
    </w:rPr>
  </w:style>
  <w:style w:type="paragraph" w:styleId="152">
    <w:name w:val="No Spacing"/>
    <w:basedOn w:val="1"/>
    <w:link w:val="153"/>
    <w:qFormat/>
    <w:uiPriority w:val="1"/>
    <w:rPr>
      <w:rFonts w:ascii="Calibri" w:hAnsi="Calibri"/>
    </w:rPr>
  </w:style>
  <w:style w:type="character" w:customStyle="1" w:styleId="153">
    <w:name w:val="Без интервала Знак"/>
    <w:basedOn w:val="45"/>
    <w:link w:val="152"/>
    <w:qFormat/>
    <w:uiPriority w:val="1"/>
    <w:rPr>
      <w:rFonts w:ascii="Calibri" w:hAnsi="Calibri"/>
      <w:sz w:val="24"/>
    </w:rPr>
  </w:style>
  <w:style w:type="paragraph" w:customStyle="1" w:styleId="154">
    <w:name w:val="xl71"/>
    <w:basedOn w:val="1"/>
    <w:link w:val="155"/>
    <w:uiPriority w:val="0"/>
    <w:pPr>
      <w:spacing w:beforeAutospacing="1" w:afterAutospacing="1"/>
      <w:jc w:val="center"/>
    </w:pPr>
    <w:rPr>
      <w:sz w:val="16"/>
    </w:rPr>
  </w:style>
  <w:style w:type="character" w:customStyle="1" w:styleId="155">
    <w:name w:val="xl711"/>
    <w:basedOn w:val="45"/>
    <w:link w:val="154"/>
    <w:uiPriority w:val="0"/>
    <w:rPr>
      <w:color w:val="000000"/>
      <w:sz w:val="16"/>
    </w:rPr>
  </w:style>
  <w:style w:type="paragraph" w:customStyle="1" w:styleId="156">
    <w:name w:val="xl69"/>
    <w:basedOn w:val="1"/>
    <w:link w:val="157"/>
    <w:uiPriority w:val="0"/>
    <w:pPr>
      <w:spacing w:beforeAutospacing="1" w:afterAutospacing="1"/>
      <w:jc w:val="center"/>
    </w:pPr>
    <w:rPr>
      <w:b/>
      <w:sz w:val="16"/>
    </w:rPr>
  </w:style>
  <w:style w:type="character" w:customStyle="1" w:styleId="157">
    <w:name w:val="xl691"/>
    <w:basedOn w:val="45"/>
    <w:link w:val="156"/>
    <w:uiPriority w:val="0"/>
    <w:rPr>
      <w:b/>
      <w:sz w:val="16"/>
    </w:rPr>
  </w:style>
  <w:style w:type="paragraph" w:customStyle="1" w:styleId="158">
    <w:name w:val="WW8Num5z0"/>
    <w:link w:val="159"/>
    <w:uiPriority w:val="0"/>
    <w:rPr>
      <w:rFonts w:ascii="Times New Roman" w:hAnsi="Times New Roman" w:eastAsia="Times New Roman" w:cs="Times New Roman"/>
      <w:color w:val="000000"/>
      <w:lang w:val="ru-RU" w:eastAsia="ru-RU" w:bidi="ar-SA"/>
    </w:rPr>
  </w:style>
  <w:style w:type="character" w:customStyle="1" w:styleId="159">
    <w:name w:val="WW8Num5z01"/>
    <w:link w:val="158"/>
    <w:uiPriority w:val="0"/>
  </w:style>
  <w:style w:type="paragraph" w:customStyle="1" w:styleId="160">
    <w:name w:val="Указатель1"/>
    <w:basedOn w:val="1"/>
    <w:link w:val="161"/>
    <w:uiPriority w:val="0"/>
  </w:style>
  <w:style w:type="character" w:customStyle="1" w:styleId="161">
    <w:name w:val="Указатель11"/>
    <w:basedOn w:val="45"/>
    <w:link w:val="160"/>
    <w:uiPriority w:val="0"/>
    <w:rPr>
      <w:sz w:val="24"/>
    </w:rPr>
  </w:style>
  <w:style w:type="character" w:customStyle="1" w:styleId="162">
    <w:name w:val="Заголовок 1 Знак"/>
    <w:basedOn w:val="45"/>
    <w:link w:val="2"/>
    <w:uiPriority w:val="0"/>
    <w:rPr>
      <w:b/>
      <w:sz w:val="24"/>
    </w:rPr>
  </w:style>
  <w:style w:type="paragraph" w:customStyle="1" w:styleId="163">
    <w:name w:val="Нижний колонтитул Знак"/>
    <w:link w:val="164"/>
    <w:uiPriority w:val="0"/>
    <w:rPr>
      <w:rFonts w:ascii="Times New Roman" w:hAnsi="Times New Roman" w:eastAsia="Times New Roman" w:cs="Times New Roman"/>
      <w:color w:val="000000"/>
      <w:sz w:val="24"/>
      <w:lang w:val="ru-RU" w:eastAsia="ru-RU" w:bidi="ar-SA"/>
    </w:rPr>
  </w:style>
  <w:style w:type="character" w:customStyle="1" w:styleId="164">
    <w:name w:val="Нижний колонтитул Знак11"/>
    <w:link w:val="163"/>
    <w:uiPriority w:val="0"/>
    <w:rPr>
      <w:sz w:val="24"/>
    </w:rPr>
  </w:style>
  <w:style w:type="character" w:customStyle="1" w:styleId="165">
    <w:name w:val="Нижний колонтитул Знак1"/>
    <w:basedOn w:val="45"/>
    <w:link w:val="39"/>
    <w:uiPriority w:val="0"/>
    <w:rPr>
      <w:sz w:val="24"/>
    </w:rPr>
  </w:style>
  <w:style w:type="paragraph" w:customStyle="1" w:styleId="166">
    <w:name w:val="xl98"/>
    <w:basedOn w:val="1"/>
    <w:link w:val="167"/>
    <w:uiPriority w:val="0"/>
    <w:pPr>
      <w:spacing w:beforeAutospacing="1" w:afterAutospacing="1"/>
      <w:jc w:val="center"/>
    </w:pPr>
  </w:style>
  <w:style w:type="character" w:customStyle="1" w:styleId="167">
    <w:name w:val="xl981"/>
    <w:basedOn w:val="45"/>
    <w:link w:val="166"/>
    <w:uiPriority w:val="0"/>
    <w:rPr>
      <w:color w:val="000000"/>
      <w:sz w:val="24"/>
    </w:rPr>
  </w:style>
  <w:style w:type="paragraph" w:customStyle="1" w:styleId="168">
    <w:name w:val="Footnote"/>
    <w:link w:val="169"/>
    <w:uiPriority w:val="0"/>
    <w:pPr>
      <w:ind w:firstLine="851"/>
      <w:jc w:val="both"/>
    </w:pPr>
    <w:rPr>
      <w:rFonts w:ascii="XO Thames" w:hAnsi="XO Thames" w:eastAsia="Times New Roman" w:cs="Times New Roman"/>
      <w:color w:val="000000"/>
      <w:sz w:val="22"/>
      <w:lang w:val="ru-RU" w:eastAsia="ru-RU" w:bidi="ar-SA"/>
    </w:rPr>
  </w:style>
  <w:style w:type="character" w:customStyle="1" w:styleId="169">
    <w:name w:val="Footnote1"/>
    <w:link w:val="168"/>
    <w:uiPriority w:val="0"/>
    <w:rPr>
      <w:rFonts w:ascii="XO Thames" w:hAnsi="XO Thames"/>
      <w:sz w:val="22"/>
    </w:rPr>
  </w:style>
  <w:style w:type="paragraph" w:customStyle="1" w:styleId="170">
    <w:name w:val="xl73"/>
    <w:basedOn w:val="1"/>
    <w:link w:val="171"/>
    <w:uiPriority w:val="0"/>
    <w:pPr>
      <w:spacing w:beforeAutospacing="1" w:afterAutospacing="1"/>
      <w:jc w:val="center"/>
    </w:pPr>
    <w:rPr>
      <w:sz w:val="16"/>
    </w:rPr>
  </w:style>
  <w:style w:type="character" w:customStyle="1" w:styleId="171">
    <w:name w:val="xl731"/>
    <w:basedOn w:val="45"/>
    <w:link w:val="170"/>
    <w:uiPriority w:val="0"/>
    <w:rPr>
      <w:color w:val="000000"/>
      <w:sz w:val="16"/>
    </w:rPr>
  </w:style>
  <w:style w:type="character" w:customStyle="1" w:styleId="172">
    <w:name w:val="Оглавление 1 Знак"/>
    <w:link w:val="31"/>
    <w:uiPriority w:val="0"/>
    <w:rPr>
      <w:rFonts w:ascii="XO Thames" w:hAnsi="XO Thames"/>
      <w:b/>
      <w:sz w:val="28"/>
    </w:rPr>
  </w:style>
  <w:style w:type="paragraph" w:customStyle="1" w:styleId="173">
    <w:name w:val="Номер страницы1"/>
    <w:basedOn w:val="95"/>
    <w:link w:val="174"/>
    <w:uiPriority w:val="0"/>
  </w:style>
  <w:style w:type="character" w:customStyle="1" w:styleId="174">
    <w:name w:val="Номер страницы11"/>
    <w:basedOn w:val="96"/>
    <w:link w:val="173"/>
    <w:uiPriority w:val="0"/>
  </w:style>
  <w:style w:type="paragraph" w:customStyle="1" w:styleId="175">
    <w:name w:val="xl113"/>
    <w:basedOn w:val="1"/>
    <w:link w:val="176"/>
    <w:uiPriority w:val="0"/>
    <w:pPr>
      <w:spacing w:beforeAutospacing="1" w:afterAutospacing="1"/>
      <w:jc w:val="center"/>
    </w:pPr>
    <w:rPr>
      <w:sz w:val="20"/>
    </w:rPr>
  </w:style>
  <w:style w:type="character" w:customStyle="1" w:styleId="176">
    <w:name w:val="xl1131"/>
    <w:basedOn w:val="45"/>
    <w:link w:val="175"/>
    <w:uiPriority w:val="0"/>
    <w:rPr>
      <w:color w:val="000000"/>
      <w:sz w:val="20"/>
    </w:rPr>
  </w:style>
  <w:style w:type="paragraph" w:customStyle="1" w:styleId="177">
    <w:name w:val="Основной шрифт абзаца3"/>
    <w:link w:val="178"/>
    <w:uiPriority w:val="0"/>
    <w:rPr>
      <w:rFonts w:ascii="Times New Roman" w:hAnsi="Times New Roman" w:eastAsia="Times New Roman" w:cs="Times New Roman"/>
      <w:color w:val="000000"/>
      <w:lang w:val="ru-RU" w:eastAsia="ru-RU" w:bidi="ar-SA"/>
    </w:rPr>
  </w:style>
  <w:style w:type="character" w:customStyle="1" w:styleId="178">
    <w:name w:val="Основной шрифт абзаца31"/>
    <w:link w:val="177"/>
    <w:uiPriority w:val="0"/>
  </w:style>
  <w:style w:type="paragraph" w:customStyle="1" w:styleId="179">
    <w:name w:val="Header and Footer"/>
    <w:link w:val="180"/>
    <w:uiPriority w:val="0"/>
    <w:pPr>
      <w:jc w:val="both"/>
    </w:pPr>
    <w:rPr>
      <w:rFonts w:ascii="XO Thames" w:hAnsi="XO Thames" w:eastAsia="Times New Roman" w:cs="Times New Roman"/>
      <w:color w:val="000000"/>
      <w:lang w:val="ru-RU" w:eastAsia="ru-RU" w:bidi="ar-SA"/>
    </w:rPr>
  </w:style>
  <w:style w:type="character" w:customStyle="1" w:styleId="180">
    <w:name w:val="Header and Footer1"/>
    <w:link w:val="179"/>
    <w:uiPriority w:val="0"/>
    <w:rPr>
      <w:rFonts w:ascii="XO Thames" w:hAnsi="XO Thames"/>
    </w:rPr>
  </w:style>
  <w:style w:type="paragraph" w:customStyle="1" w:styleId="181">
    <w:name w:val="xl64"/>
    <w:basedOn w:val="1"/>
    <w:link w:val="182"/>
    <w:uiPriority w:val="0"/>
    <w:pPr>
      <w:spacing w:beforeAutospacing="1" w:afterAutospacing="1"/>
    </w:pPr>
  </w:style>
  <w:style w:type="character" w:customStyle="1" w:styleId="182">
    <w:name w:val="xl641"/>
    <w:basedOn w:val="45"/>
    <w:link w:val="181"/>
    <w:uiPriority w:val="0"/>
    <w:rPr>
      <w:color w:val="000000"/>
      <w:sz w:val="24"/>
    </w:rPr>
  </w:style>
  <w:style w:type="paragraph" w:customStyle="1" w:styleId="183">
    <w:name w:val="xl101"/>
    <w:basedOn w:val="1"/>
    <w:link w:val="184"/>
    <w:uiPriority w:val="0"/>
    <w:pPr>
      <w:spacing w:beforeAutospacing="1" w:afterAutospacing="1"/>
      <w:jc w:val="center"/>
    </w:pPr>
    <w:rPr>
      <w:sz w:val="18"/>
    </w:rPr>
  </w:style>
  <w:style w:type="character" w:customStyle="1" w:styleId="184">
    <w:name w:val="xl1011"/>
    <w:basedOn w:val="45"/>
    <w:link w:val="183"/>
    <w:uiPriority w:val="0"/>
    <w:rPr>
      <w:color w:val="000000"/>
      <w:sz w:val="18"/>
    </w:rPr>
  </w:style>
  <w:style w:type="paragraph" w:customStyle="1" w:styleId="185">
    <w:name w:val="xl112"/>
    <w:basedOn w:val="1"/>
    <w:link w:val="186"/>
    <w:uiPriority w:val="0"/>
    <w:pPr>
      <w:spacing w:beforeAutospacing="1" w:afterAutospacing="1"/>
      <w:jc w:val="center"/>
    </w:pPr>
    <w:rPr>
      <w:sz w:val="20"/>
    </w:rPr>
  </w:style>
  <w:style w:type="character" w:customStyle="1" w:styleId="186">
    <w:name w:val="xl1121"/>
    <w:basedOn w:val="45"/>
    <w:link w:val="185"/>
    <w:uiPriority w:val="0"/>
    <w:rPr>
      <w:color w:val="000000"/>
      <w:sz w:val="20"/>
    </w:rPr>
  </w:style>
  <w:style w:type="paragraph" w:customStyle="1" w:styleId="187">
    <w:name w:val="Указатель2"/>
    <w:basedOn w:val="1"/>
    <w:link w:val="188"/>
    <w:uiPriority w:val="0"/>
    <w:rPr>
      <w:rFonts w:ascii="Arial" w:hAnsi="Arial"/>
    </w:rPr>
  </w:style>
  <w:style w:type="character" w:customStyle="1" w:styleId="188">
    <w:name w:val="Указатель21"/>
    <w:basedOn w:val="45"/>
    <w:link w:val="187"/>
    <w:uiPriority w:val="0"/>
    <w:rPr>
      <w:rFonts w:ascii="Arial" w:hAnsi="Arial"/>
      <w:sz w:val="24"/>
    </w:rPr>
  </w:style>
  <w:style w:type="paragraph" w:customStyle="1" w:styleId="189">
    <w:name w:val="Тема примечания Знак"/>
    <w:link w:val="190"/>
    <w:uiPriority w:val="0"/>
    <w:rPr>
      <w:rFonts w:ascii="Times New Roman" w:hAnsi="Times New Roman" w:eastAsia="Times New Roman" w:cs="Times New Roman"/>
      <w:b/>
      <w:color w:val="000000"/>
      <w:lang w:val="ru-RU" w:eastAsia="ru-RU" w:bidi="ar-SA"/>
    </w:rPr>
  </w:style>
  <w:style w:type="character" w:customStyle="1" w:styleId="190">
    <w:name w:val="Тема примечания Знак11"/>
    <w:link w:val="189"/>
    <w:uiPriority w:val="0"/>
    <w:rPr>
      <w:b/>
    </w:rPr>
  </w:style>
  <w:style w:type="paragraph" w:customStyle="1" w:styleId="191">
    <w:name w:val="Основной текст 2 Знак"/>
    <w:link w:val="192"/>
    <w:uiPriority w:val="0"/>
    <w:rPr>
      <w:rFonts w:ascii="Times New Roman" w:hAnsi="Times New Roman" w:eastAsia="Times New Roman" w:cs="Times New Roman"/>
      <w:color w:val="000000"/>
      <w:sz w:val="24"/>
      <w:lang w:val="ru-RU" w:eastAsia="ru-RU" w:bidi="ar-SA"/>
    </w:rPr>
  </w:style>
  <w:style w:type="character" w:customStyle="1" w:styleId="192">
    <w:name w:val="Основной текст 2 Знак2"/>
    <w:link w:val="191"/>
    <w:uiPriority w:val="0"/>
    <w:rPr>
      <w:sz w:val="24"/>
    </w:rPr>
  </w:style>
  <w:style w:type="paragraph" w:customStyle="1" w:styleId="193">
    <w:name w:val="Основной текст с отступом 32"/>
    <w:basedOn w:val="1"/>
    <w:link w:val="194"/>
    <w:uiPriority w:val="0"/>
    <w:pPr>
      <w:spacing w:after="120"/>
      <w:ind w:left="283"/>
    </w:pPr>
    <w:rPr>
      <w:sz w:val="16"/>
    </w:rPr>
  </w:style>
  <w:style w:type="character" w:customStyle="1" w:styleId="194">
    <w:name w:val="Основной текст с отступом 321"/>
    <w:basedOn w:val="45"/>
    <w:link w:val="193"/>
    <w:uiPriority w:val="0"/>
    <w:rPr>
      <w:sz w:val="16"/>
    </w:rPr>
  </w:style>
  <w:style w:type="character" w:customStyle="1" w:styleId="195">
    <w:name w:val="Оглавление 9 Знак"/>
    <w:link w:val="28"/>
    <w:uiPriority w:val="0"/>
    <w:rPr>
      <w:rFonts w:ascii="XO Thames" w:hAnsi="XO Thames"/>
      <w:sz w:val="28"/>
    </w:rPr>
  </w:style>
  <w:style w:type="paragraph" w:customStyle="1" w:styleId="196">
    <w:name w:val="Гиперссылка11"/>
    <w:link w:val="197"/>
    <w:uiPriority w:val="0"/>
    <w:rPr>
      <w:rFonts w:ascii="Times New Roman" w:hAnsi="Times New Roman" w:eastAsia="Times New Roman" w:cs="Times New Roman"/>
      <w:color w:val="0000FF"/>
      <w:u w:val="single"/>
      <w:lang w:val="ru-RU" w:eastAsia="ru-RU" w:bidi="ar-SA"/>
    </w:rPr>
  </w:style>
  <w:style w:type="character" w:customStyle="1" w:styleId="197">
    <w:name w:val="Гиперссылка12"/>
    <w:link w:val="196"/>
    <w:uiPriority w:val="0"/>
    <w:rPr>
      <w:color w:val="0000FF"/>
      <w:u w:val="single"/>
    </w:rPr>
  </w:style>
  <w:style w:type="paragraph" w:customStyle="1" w:styleId="198">
    <w:name w:val="Абзац списка1"/>
    <w:basedOn w:val="199"/>
    <w:link w:val="200"/>
    <w:uiPriority w:val="0"/>
    <w:rPr>
      <w:sz w:val="28"/>
    </w:rPr>
  </w:style>
  <w:style w:type="paragraph" w:customStyle="1" w:styleId="199">
    <w:name w:val="Обычный15"/>
    <w:link w:val="201"/>
    <w:uiPriority w:val="0"/>
    <w:rPr>
      <w:rFonts w:ascii="Times New Roman" w:hAnsi="Times New Roman" w:eastAsia="Times New Roman" w:cs="Times New Roman"/>
      <w:color w:val="000000"/>
      <w:sz w:val="24"/>
      <w:lang w:val="ru-RU" w:eastAsia="ru-RU" w:bidi="ar-SA"/>
    </w:rPr>
  </w:style>
  <w:style w:type="character" w:customStyle="1" w:styleId="200">
    <w:name w:val="Абзац списка11"/>
    <w:basedOn w:val="201"/>
    <w:link w:val="198"/>
    <w:uiPriority w:val="0"/>
    <w:rPr>
      <w:sz w:val="28"/>
    </w:rPr>
  </w:style>
  <w:style w:type="character" w:customStyle="1" w:styleId="201">
    <w:name w:val="Обычный16"/>
    <w:link w:val="199"/>
    <w:uiPriority w:val="0"/>
    <w:rPr>
      <w:sz w:val="24"/>
    </w:rPr>
  </w:style>
  <w:style w:type="paragraph" w:customStyle="1" w:styleId="202">
    <w:name w:val="ConsNormal"/>
    <w:link w:val="203"/>
    <w:uiPriority w:val="0"/>
    <w:pPr>
      <w:ind w:firstLine="720"/>
    </w:pPr>
    <w:rPr>
      <w:rFonts w:ascii="Arial" w:hAnsi="Arial" w:eastAsia="Times New Roman" w:cs="Times New Roman"/>
      <w:color w:val="000000"/>
      <w:lang w:val="ru-RU" w:eastAsia="ru-RU" w:bidi="ar-SA"/>
    </w:rPr>
  </w:style>
  <w:style w:type="character" w:customStyle="1" w:styleId="203">
    <w:name w:val="ConsNormal1"/>
    <w:link w:val="202"/>
    <w:uiPriority w:val="0"/>
    <w:rPr>
      <w:rFonts w:ascii="Arial" w:hAnsi="Arial"/>
    </w:rPr>
  </w:style>
  <w:style w:type="paragraph" w:customStyle="1" w:styleId="204">
    <w:name w:val="Содержимое таблицы"/>
    <w:basedOn w:val="1"/>
    <w:link w:val="205"/>
    <w:uiPriority w:val="0"/>
  </w:style>
  <w:style w:type="character" w:customStyle="1" w:styleId="205">
    <w:name w:val="Содержимое таблицы1"/>
    <w:basedOn w:val="45"/>
    <w:link w:val="204"/>
    <w:uiPriority w:val="0"/>
    <w:rPr>
      <w:sz w:val="24"/>
    </w:rPr>
  </w:style>
  <w:style w:type="character" w:customStyle="1" w:styleId="206">
    <w:name w:val="Оглавление 8 Знак"/>
    <w:link w:val="25"/>
    <w:uiPriority w:val="0"/>
    <w:rPr>
      <w:rFonts w:ascii="XO Thames" w:hAnsi="XO Thames"/>
      <w:sz w:val="28"/>
    </w:rPr>
  </w:style>
  <w:style w:type="paragraph" w:customStyle="1" w:styleId="207">
    <w:name w:val="xl82"/>
    <w:basedOn w:val="1"/>
    <w:link w:val="208"/>
    <w:uiPriority w:val="0"/>
    <w:pPr>
      <w:spacing w:beforeAutospacing="1" w:afterAutospacing="1"/>
      <w:jc w:val="center"/>
    </w:pPr>
    <w:rPr>
      <w:sz w:val="16"/>
    </w:rPr>
  </w:style>
  <w:style w:type="character" w:customStyle="1" w:styleId="208">
    <w:name w:val="xl821"/>
    <w:basedOn w:val="45"/>
    <w:link w:val="207"/>
    <w:uiPriority w:val="0"/>
    <w:rPr>
      <w:color w:val="000000"/>
      <w:sz w:val="16"/>
    </w:rPr>
  </w:style>
  <w:style w:type="paragraph" w:customStyle="1" w:styleId="209">
    <w:name w:val="Обычный13"/>
    <w:link w:val="210"/>
    <w:uiPriority w:val="0"/>
    <w:pPr>
      <w:spacing w:before="100" w:after="100"/>
    </w:pPr>
    <w:rPr>
      <w:rFonts w:ascii="Times New Roman" w:hAnsi="Times New Roman" w:eastAsia="Times New Roman" w:cs="Times New Roman"/>
      <w:color w:val="000000"/>
      <w:sz w:val="24"/>
      <w:lang w:val="ru-RU" w:eastAsia="ru-RU" w:bidi="ar-SA"/>
    </w:rPr>
  </w:style>
  <w:style w:type="character" w:customStyle="1" w:styleId="210">
    <w:name w:val="Обычный14"/>
    <w:link w:val="209"/>
    <w:uiPriority w:val="0"/>
    <w:rPr>
      <w:sz w:val="24"/>
    </w:rPr>
  </w:style>
  <w:style w:type="character" w:customStyle="1" w:styleId="211">
    <w:name w:val="Список Знак"/>
    <w:basedOn w:val="106"/>
    <w:link w:val="40"/>
    <w:uiPriority w:val="0"/>
    <w:rPr>
      <w:sz w:val="24"/>
    </w:rPr>
  </w:style>
  <w:style w:type="paragraph" w:customStyle="1" w:styleId="212">
    <w:name w:val="WW8Num6z0"/>
    <w:link w:val="213"/>
    <w:uiPriority w:val="0"/>
    <w:rPr>
      <w:rFonts w:ascii="Times New Roman" w:hAnsi="Times New Roman" w:eastAsia="Times New Roman" w:cs="Times New Roman"/>
      <w:color w:val="000000"/>
      <w:lang w:val="ru-RU" w:eastAsia="ru-RU" w:bidi="ar-SA"/>
    </w:rPr>
  </w:style>
  <w:style w:type="character" w:customStyle="1" w:styleId="213">
    <w:name w:val="WW8Num6z01"/>
    <w:link w:val="212"/>
    <w:uiPriority w:val="0"/>
  </w:style>
  <w:style w:type="paragraph" w:customStyle="1" w:styleId="214">
    <w:name w:val="xl102"/>
    <w:basedOn w:val="1"/>
    <w:link w:val="215"/>
    <w:uiPriority w:val="0"/>
    <w:pPr>
      <w:spacing w:beforeAutospacing="1" w:afterAutospacing="1"/>
      <w:jc w:val="center"/>
    </w:pPr>
    <w:rPr>
      <w:sz w:val="14"/>
    </w:rPr>
  </w:style>
  <w:style w:type="character" w:customStyle="1" w:styleId="215">
    <w:name w:val="xl1021"/>
    <w:basedOn w:val="45"/>
    <w:link w:val="214"/>
    <w:uiPriority w:val="0"/>
    <w:rPr>
      <w:color w:val="000000"/>
      <w:sz w:val="14"/>
    </w:rPr>
  </w:style>
  <w:style w:type="paragraph" w:customStyle="1" w:styleId="216">
    <w:name w:val="xl96"/>
    <w:basedOn w:val="1"/>
    <w:link w:val="217"/>
    <w:uiPriority w:val="0"/>
    <w:pPr>
      <w:spacing w:beforeAutospacing="1" w:afterAutospacing="1"/>
    </w:pPr>
    <w:rPr>
      <w:sz w:val="28"/>
    </w:rPr>
  </w:style>
  <w:style w:type="character" w:customStyle="1" w:styleId="217">
    <w:name w:val="xl961"/>
    <w:basedOn w:val="45"/>
    <w:link w:val="216"/>
    <w:uiPriority w:val="0"/>
    <w:rPr>
      <w:color w:val="000000"/>
      <w:sz w:val="28"/>
    </w:rPr>
  </w:style>
  <w:style w:type="paragraph" w:customStyle="1" w:styleId="218">
    <w:name w:val="xl79"/>
    <w:basedOn w:val="1"/>
    <w:link w:val="219"/>
    <w:uiPriority w:val="0"/>
    <w:pPr>
      <w:spacing w:beforeAutospacing="1" w:afterAutospacing="1"/>
      <w:jc w:val="center"/>
    </w:pPr>
    <w:rPr>
      <w:sz w:val="16"/>
    </w:rPr>
  </w:style>
  <w:style w:type="character" w:customStyle="1" w:styleId="219">
    <w:name w:val="xl791"/>
    <w:basedOn w:val="45"/>
    <w:link w:val="218"/>
    <w:uiPriority w:val="0"/>
    <w:rPr>
      <w:color w:val="000000"/>
      <w:sz w:val="16"/>
    </w:rPr>
  </w:style>
  <w:style w:type="character" w:customStyle="1" w:styleId="220">
    <w:name w:val="Оглавление 5 Знак"/>
    <w:link w:val="36"/>
    <w:uiPriority w:val="0"/>
    <w:rPr>
      <w:rFonts w:ascii="XO Thames" w:hAnsi="XO Thames"/>
      <w:sz w:val="28"/>
    </w:rPr>
  </w:style>
  <w:style w:type="paragraph" w:customStyle="1" w:styleId="221">
    <w:name w:val="xl68"/>
    <w:basedOn w:val="1"/>
    <w:link w:val="222"/>
    <w:uiPriority w:val="0"/>
    <w:pPr>
      <w:spacing w:beforeAutospacing="1" w:afterAutospacing="1"/>
      <w:jc w:val="center"/>
    </w:pPr>
    <w:rPr>
      <w:b/>
      <w:sz w:val="16"/>
    </w:rPr>
  </w:style>
  <w:style w:type="character" w:customStyle="1" w:styleId="222">
    <w:name w:val="xl681"/>
    <w:basedOn w:val="45"/>
    <w:link w:val="221"/>
    <w:uiPriority w:val="0"/>
    <w:rPr>
      <w:b/>
      <w:sz w:val="16"/>
    </w:rPr>
  </w:style>
  <w:style w:type="character" w:customStyle="1" w:styleId="223">
    <w:name w:val="Текст выноски Знак1"/>
    <w:basedOn w:val="45"/>
    <w:link w:val="20"/>
    <w:uiPriority w:val="0"/>
    <w:rPr>
      <w:rFonts w:ascii="Segoe UI" w:hAnsi="Segoe UI"/>
      <w:sz w:val="18"/>
    </w:rPr>
  </w:style>
  <w:style w:type="paragraph" w:customStyle="1" w:styleId="224">
    <w:name w:val="Заголовок1"/>
    <w:basedOn w:val="1"/>
    <w:next w:val="30"/>
    <w:link w:val="225"/>
    <w:uiPriority w:val="0"/>
    <w:pPr>
      <w:keepNext/>
      <w:spacing w:before="240" w:after="120"/>
    </w:pPr>
    <w:rPr>
      <w:rFonts w:ascii="Liberation Sans" w:hAnsi="Liberation Sans"/>
      <w:sz w:val="28"/>
    </w:rPr>
  </w:style>
  <w:style w:type="character" w:customStyle="1" w:styleId="225">
    <w:name w:val="Заголовок11"/>
    <w:basedOn w:val="45"/>
    <w:link w:val="224"/>
    <w:uiPriority w:val="0"/>
    <w:rPr>
      <w:rFonts w:ascii="Liberation Sans" w:hAnsi="Liberation Sans"/>
      <w:sz w:val="28"/>
    </w:rPr>
  </w:style>
  <w:style w:type="paragraph" w:customStyle="1" w:styleId="226">
    <w:name w:val="xl77"/>
    <w:basedOn w:val="1"/>
    <w:link w:val="227"/>
    <w:uiPriority w:val="0"/>
    <w:pPr>
      <w:spacing w:beforeAutospacing="1" w:afterAutospacing="1"/>
      <w:jc w:val="center"/>
    </w:pPr>
    <w:rPr>
      <w:sz w:val="16"/>
    </w:rPr>
  </w:style>
  <w:style w:type="character" w:customStyle="1" w:styleId="227">
    <w:name w:val="xl771"/>
    <w:basedOn w:val="45"/>
    <w:link w:val="226"/>
    <w:uiPriority w:val="0"/>
    <w:rPr>
      <w:color w:val="000000"/>
      <w:sz w:val="16"/>
    </w:rPr>
  </w:style>
  <w:style w:type="paragraph" w:customStyle="1" w:styleId="228">
    <w:name w:val="xl74"/>
    <w:basedOn w:val="1"/>
    <w:link w:val="229"/>
    <w:uiPriority w:val="0"/>
    <w:pPr>
      <w:spacing w:beforeAutospacing="1" w:afterAutospacing="1"/>
      <w:jc w:val="center"/>
    </w:pPr>
    <w:rPr>
      <w:sz w:val="16"/>
    </w:rPr>
  </w:style>
  <w:style w:type="character" w:customStyle="1" w:styleId="229">
    <w:name w:val="xl741"/>
    <w:basedOn w:val="45"/>
    <w:link w:val="228"/>
    <w:uiPriority w:val="0"/>
    <w:rPr>
      <w:color w:val="000000"/>
      <w:sz w:val="16"/>
    </w:rPr>
  </w:style>
  <w:style w:type="paragraph" w:customStyle="1" w:styleId="230">
    <w:name w:val="xl97"/>
    <w:basedOn w:val="1"/>
    <w:link w:val="231"/>
    <w:uiPriority w:val="0"/>
    <w:pPr>
      <w:spacing w:beforeAutospacing="1" w:afterAutospacing="1"/>
      <w:jc w:val="center"/>
    </w:pPr>
  </w:style>
  <w:style w:type="character" w:customStyle="1" w:styleId="231">
    <w:name w:val="xl971"/>
    <w:basedOn w:val="45"/>
    <w:link w:val="230"/>
    <w:uiPriority w:val="0"/>
    <w:rPr>
      <w:color w:val="000000"/>
      <w:sz w:val="24"/>
    </w:rPr>
  </w:style>
  <w:style w:type="paragraph" w:customStyle="1" w:styleId="232">
    <w:name w:val="ConsNonformat"/>
    <w:link w:val="233"/>
    <w:uiPriority w:val="0"/>
    <w:pPr>
      <w:widowControl w:val="0"/>
    </w:pPr>
    <w:rPr>
      <w:rFonts w:ascii="Courier New" w:hAnsi="Courier New" w:eastAsia="Times New Roman" w:cs="Times New Roman"/>
      <w:color w:val="000000"/>
      <w:lang w:val="ru-RU" w:eastAsia="ru-RU" w:bidi="ar-SA"/>
    </w:rPr>
  </w:style>
  <w:style w:type="character" w:customStyle="1" w:styleId="233">
    <w:name w:val="ConsNonformat1"/>
    <w:link w:val="232"/>
    <w:uiPriority w:val="0"/>
    <w:rPr>
      <w:rFonts w:ascii="Courier New" w:hAnsi="Courier New"/>
    </w:rPr>
  </w:style>
  <w:style w:type="character" w:customStyle="1" w:styleId="234">
    <w:name w:val="Основной текст с отступом Знак"/>
    <w:basedOn w:val="45"/>
    <w:link w:val="37"/>
    <w:uiPriority w:val="0"/>
    <w:rPr>
      <w:sz w:val="24"/>
    </w:rPr>
  </w:style>
  <w:style w:type="paragraph" w:customStyle="1" w:styleId="235">
    <w:name w:val="Times 12"/>
    <w:basedOn w:val="1"/>
    <w:link w:val="236"/>
    <w:uiPriority w:val="0"/>
    <w:pPr>
      <w:ind w:firstLine="567"/>
      <w:jc w:val="both"/>
    </w:pPr>
  </w:style>
  <w:style w:type="character" w:customStyle="1" w:styleId="236">
    <w:name w:val="Times 121"/>
    <w:basedOn w:val="45"/>
    <w:link w:val="235"/>
    <w:uiPriority w:val="0"/>
    <w:rPr>
      <w:sz w:val="24"/>
    </w:rPr>
  </w:style>
  <w:style w:type="paragraph" w:customStyle="1" w:styleId="237">
    <w:name w:val="xl114"/>
    <w:basedOn w:val="1"/>
    <w:link w:val="238"/>
    <w:uiPriority w:val="0"/>
    <w:pPr>
      <w:spacing w:beforeAutospacing="1" w:afterAutospacing="1"/>
      <w:jc w:val="center"/>
    </w:pPr>
    <w:rPr>
      <w:b/>
      <w:sz w:val="20"/>
    </w:rPr>
  </w:style>
  <w:style w:type="character" w:customStyle="1" w:styleId="238">
    <w:name w:val="xl1141"/>
    <w:basedOn w:val="45"/>
    <w:link w:val="237"/>
    <w:uiPriority w:val="0"/>
    <w:rPr>
      <w:b/>
      <w:color w:val="000000"/>
      <w:sz w:val="20"/>
    </w:rPr>
  </w:style>
  <w:style w:type="paragraph" w:customStyle="1" w:styleId="239">
    <w:name w:val="Гиперссылка2"/>
    <w:link w:val="240"/>
    <w:uiPriority w:val="0"/>
    <w:rPr>
      <w:rFonts w:ascii="Times New Roman" w:hAnsi="Times New Roman" w:eastAsia="Times New Roman" w:cs="Times New Roman"/>
      <w:color w:val="0000FF"/>
      <w:u w:val="single"/>
      <w:lang w:val="ru-RU" w:eastAsia="ru-RU" w:bidi="ar-SA"/>
    </w:rPr>
  </w:style>
  <w:style w:type="character" w:customStyle="1" w:styleId="240">
    <w:name w:val="Гиперссылка21"/>
    <w:link w:val="239"/>
    <w:uiPriority w:val="0"/>
    <w:rPr>
      <w:color w:val="0000FF"/>
      <w:u w:val="single"/>
    </w:rPr>
  </w:style>
  <w:style w:type="paragraph" w:customStyle="1" w:styleId="241">
    <w:name w:val="xl111"/>
    <w:basedOn w:val="1"/>
    <w:link w:val="242"/>
    <w:uiPriority w:val="0"/>
    <w:pPr>
      <w:spacing w:beforeAutospacing="1" w:afterAutospacing="1"/>
      <w:jc w:val="center"/>
    </w:pPr>
    <w:rPr>
      <w:sz w:val="20"/>
    </w:rPr>
  </w:style>
  <w:style w:type="character" w:customStyle="1" w:styleId="242">
    <w:name w:val="xl1111"/>
    <w:basedOn w:val="45"/>
    <w:link w:val="241"/>
    <w:uiPriority w:val="0"/>
    <w:rPr>
      <w:color w:val="000000"/>
      <w:sz w:val="20"/>
    </w:rPr>
  </w:style>
  <w:style w:type="character" w:customStyle="1" w:styleId="243">
    <w:name w:val="Подзаголовок Знак"/>
    <w:link w:val="42"/>
    <w:uiPriority w:val="0"/>
    <w:rPr>
      <w:rFonts w:ascii="XO Thames" w:hAnsi="XO Thames"/>
      <w:i/>
      <w:sz w:val="24"/>
    </w:rPr>
  </w:style>
  <w:style w:type="paragraph" w:customStyle="1" w:styleId="244">
    <w:name w:val="Заголовок таблицы"/>
    <w:basedOn w:val="204"/>
    <w:link w:val="245"/>
    <w:uiPriority w:val="0"/>
    <w:pPr>
      <w:jc w:val="center"/>
    </w:pPr>
    <w:rPr>
      <w:b/>
    </w:rPr>
  </w:style>
  <w:style w:type="character" w:customStyle="1" w:styleId="245">
    <w:name w:val="Заголовок таблицы1"/>
    <w:basedOn w:val="205"/>
    <w:link w:val="244"/>
    <w:uiPriority w:val="0"/>
    <w:rPr>
      <w:b/>
      <w:sz w:val="24"/>
    </w:rPr>
  </w:style>
  <w:style w:type="paragraph" w:customStyle="1" w:styleId="246">
    <w:name w:val="xl72"/>
    <w:basedOn w:val="1"/>
    <w:link w:val="247"/>
    <w:uiPriority w:val="0"/>
    <w:pPr>
      <w:spacing w:beforeAutospacing="1" w:afterAutospacing="1"/>
      <w:jc w:val="center"/>
    </w:pPr>
    <w:rPr>
      <w:sz w:val="16"/>
    </w:rPr>
  </w:style>
  <w:style w:type="character" w:customStyle="1" w:styleId="247">
    <w:name w:val="xl721"/>
    <w:basedOn w:val="45"/>
    <w:link w:val="246"/>
    <w:uiPriority w:val="0"/>
    <w:rPr>
      <w:color w:val="000000"/>
      <w:sz w:val="16"/>
    </w:rPr>
  </w:style>
  <w:style w:type="character" w:customStyle="1" w:styleId="248">
    <w:name w:val="Тема примечания Знак1"/>
    <w:basedOn w:val="50"/>
    <w:link w:val="23"/>
    <w:uiPriority w:val="0"/>
    <w:rPr>
      <w:b/>
      <w:sz w:val="20"/>
    </w:rPr>
  </w:style>
  <w:style w:type="paragraph" w:styleId="249">
    <w:name w:val="List Paragraph"/>
    <w:basedOn w:val="1"/>
    <w:link w:val="250"/>
    <w:qFormat/>
    <w:uiPriority w:val="34"/>
    <w:pPr>
      <w:spacing w:after="200" w:line="276" w:lineRule="auto"/>
      <w:ind w:left="720"/>
    </w:pPr>
    <w:rPr>
      <w:rFonts w:ascii="Calibri" w:hAnsi="Calibri"/>
      <w:sz w:val="22"/>
    </w:rPr>
  </w:style>
  <w:style w:type="character" w:customStyle="1" w:styleId="250">
    <w:name w:val="Абзац списка Знак"/>
    <w:basedOn w:val="45"/>
    <w:link w:val="249"/>
    <w:qFormat/>
    <w:uiPriority w:val="34"/>
    <w:rPr>
      <w:rFonts w:ascii="Calibri" w:hAnsi="Calibri"/>
      <w:sz w:val="22"/>
    </w:rPr>
  </w:style>
  <w:style w:type="paragraph" w:customStyle="1" w:styleId="251">
    <w:name w:val="xl80"/>
    <w:basedOn w:val="1"/>
    <w:link w:val="252"/>
    <w:uiPriority w:val="0"/>
    <w:pPr>
      <w:spacing w:beforeAutospacing="1" w:afterAutospacing="1"/>
      <w:jc w:val="center"/>
    </w:pPr>
    <w:rPr>
      <w:sz w:val="16"/>
    </w:rPr>
  </w:style>
  <w:style w:type="character" w:customStyle="1" w:styleId="252">
    <w:name w:val="xl801"/>
    <w:basedOn w:val="45"/>
    <w:link w:val="251"/>
    <w:uiPriority w:val="0"/>
    <w:rPr>
      <w:color w:val="000000"/>
      <w:sz w:val="16"/>
    </w:rPr>
  </w:style>
  <w:style w:type="character" w:customStyle="1" w:styleId="253">
    <w:name w:val="Заголовок Знак"/>
    <w:link w:val="38"/>
    <w:uiPriority w:val="10"/>
    <w:rPr>
      <w:rFonts w:ascii="XO Thames" w:hAnsi="XO Thames"/>
      <w:b/>
      <w:caps/>
      <w:sz w:val="40"/>
    </w:rPr>
  </w:style>
  <w:style w:type="character" w:customStyle="1" w:styleId="254">
    <w:name w:val="Заголовок 4 Знак"/>
    <w:link w:val="5"/>
    <w:uiPriority w:val="0"/>
    <w:rPr>
      <w:rFonts w:ascii="XO Thames" w:hAnsi="XO Thames"/>
      <w:b/>
      <w:sz w:val="24"/>
    </w:rPr>
  </w:style>
  <w:style w:type="paragraph" w:customStyle="1" w:styleId="255">
    <w:name w:val="Текст выноски Знак"/>
    <w:link w:val="256"/>
    <w:uiPriority w:val="0"/>
    <w:rPr>
      <w:rFonts w:ascii="Segoe UI" w:hAnsi="Segoe UI" w:eastAsia="Times New Roman" w:cs="Times New Roman"/>
      <w:color w:val="000000"/>
      <w:sz w:val="18"/>
      <w:lang w:val="ru-RU" w:eastAsia="ru-RU" w:bidi="ar-SA"/>
    </w:rPr>
  </w:style>
  <w:style w:type="character" w:customStyle="1" w:styleId="256">
    <w:name w:val="Текст выноски Знак2"/>
    <w:link w:val="255"/>
    <w:uiPriority w:val="0"/>
    <w:rPr>
      <w:rFonts w:ascii="Segoe UI" w:hAnsi="Segoe UI"/>
      <w:sz w:val="18"/>
    </w:rPr>
  </w:style>
  <w:style w:type="paragraph" w:customStyle="1" w:styleId="257">
    <w:name w:val="xl110"/>
    <w:basedOn w:val="1"/>
    <w:link w:val="258"/>
    <w:uiPriority w:val="0"/>
    <w:pPr>
      <w:spacing w:beforeAutospacing="1" w:afterAutospacing="1"/>
      <w:jc w:val="center"/>
    </w:pPr>
  </w:style>
  <w:style w:type="character" w:customStyle="1" w:styleId="258">
    <w:name w:val="xl1101"/>
    <w:basedOn w:val="45"/>
    <w:link w:val="257"/>
    <w:uiPriority w:val="0"/>
    <w:rPr>
      <w:color w:val="000000"/>
      <w:sz w:val="24"/>
    </w:rPr>
  </w:style>
  <w:style w:type="character" w:customStyle="1" w:styleId="259">
    <w:name w:val="Заголовок 2 Знак"/>
    <w:link w:val="3"/>
    <w:uiPriority w:val="9"/>
    <w:rPr>
      <w:rFonts w:ascii="XO Thames" w:hAnsi="XO Thames"/>
      <w:b/>
      <w:sz w:val="28"/>
    </w:rPr>
  </w:style>
  <w:style w:type="paragraph" w:customStyle="1" w:styleId="260">
    <w:name w:val="xl83"/>
    <w:basedOn w:val="1"/>
    <w:link w:val="261"/>
    <w:uiPriority w:val="0"/>
    <w:pPr>
      <w:spacing w:beforeAutospacing="1" w:afterAutospacing="1"/>
      <w:jc w:val="center"/>
    </w:pPr>
    <w:rPr>
      <w:sz w:val="16"/>
    </w:rPr>
  </w:style>
  <w:style w:type="character" w:customStyle="1" w:styleId="261">
    <w:name w:val="xl831"/>
    <w:basedOn w:val="45"/>
    <w:link w:val="260"/>
    <w:uiPriority w:val="0"/>
    <w:rPr>
      <w:color w:val="000000"/>
      <w:sz w:val="16"/>
    </w:rPr>
  </w:style>
  <w:style w:type="paragraph" w:customStyle="1" w:styleId="262">
    <w:name w:val="Название1"/>
    <w:basedOn w:val="108"/>
    <w:link w:val="263"/>
    <w:uiPriority w:val="0"/>
    <w:rPr>
      <w:rFonts w:ascii="Arial" w:hAnsi="Arial"/>
      <w:i/>
      <w:sz w:val="20"/>
    </w:rPr>
  </w:style>
  <w:style w:type="character" w:customStyle="1" w:styleId="263">
    <w:name w:val="Название11"/>
    <w:basedOn w:val="109"/>
    <w:link w:val="262"/>
    <w:uiPriority w:val="0"/>
    <w:rPr>
      <w:rFonts w:ascii="Arial" w:hAnsi="Arial"/>
      <w:i/>
      <w:sz w:val="20"/>
    </w:rPr>
  </w:style>
  <w:style w:type="paragraph" w:customStyle="1" w:styleId="264">
    <w:name w:val="xl81"/>
    <w:basedOn w:val="1"/>
    <w:link w:val="265"/>
    <w:uiPriority w:val="0"/>
    <w:pPr>
      <w:spacing w:beforeAutospacing="1" w:afterAutospacing="1"/>
      <w:jc w:val="center"/>
    </w:pPr>
    <w:rPr>
      <w:sz w:val="16"/>
    </w:rPr>
  </w:style>
  <w:style w:type="character" w:customStyle="1" w:styleId="265">
    <w:name w:val="xl811"/>
    <w:basedOn w:val="45"/>
    <w:link w:val="264"/>
    <w:uiPriority w:val="0"/>
    <w:rPr>
      <w:color w:val="000000"/>
      <w:sz w:val="16"/>
    </w:rPr>
  </w:style>
  <w:style w:type="paragraph" w:customStyle="1" w:styleId="266">
    <w:name w:val="xl100"/>
    <w:basedOn w:val="1"/>
    <w:link w:val="267"/>
    <w:uiPriority w:val="0"/>
    <w:pPr>
      <w:spacing w:beforeAutospacing="1" w:afterAutospacing="1"/>
      <w:jc w:val="center"/>
    </w:pPr>
    <w:rPr>
      <w:sz w:val="20"/>
    </w:rPr>
  </w:style>
  <w:style w:type="character" w:customStyle="1" w:styleId="267">
    <w:name w:val="xl1001"/>
    <w:basedOn w:val="45"/>
    <w:link w:val="266"/>
    <w:uiPriority w:val="0"/>
    <w:rPr>
      <w:color w:val="000000"/>
      <w:sz w:val="20"/>
    </w:rPr>
  </w:style>
  <w:style w:type="table" w:customStyle="1" w:styleId="268">
    <w:name w:val="Сетка таблицы5"/>
    <w:basedOn w:val="8"/>
    <w:uiPriority w:val="0"/>
    <w:rPr>
      <w:rFonts w:ascii="Calibri" w:hAnsi="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69">
    <w:name w:val="Сетка таблицы7"/>
    <w:basedOn w:val="8"/>
    <w:uiPriority w:val="0"/>
    <w:rPr>
      <w:rFonts w:ascii="Calibri" w:hAnsi="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70">
    <w:name w:val="Сетка таблицы4"/>
    <w:basedOn w:val="8"/>
    <w:uiPriority w:val="39"/>
    <w:rPr>
      <w:rFonts w:ascii="Calibri" w:hAnsi="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71">
    <w:name w:val="Сетка таблицы3"/>
    <w:basedOn w:val="8"/>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72">
    <w:name w:val="Сетка таблицы6"/>
    <w:basedOn w:val="8"/>
    <w:uiPriority w:val="0"/>
    <w:rPr>
      <w:rFonts w:ascii="Calibri" w:hAnsi="Calibr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73">
    <w:name w:val="Сетка таблицы1"/>
    <w:basedOn w:val="8"/>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74">
    <w:name w:val="Сетка таблицы2"/>
    <w:basedOn w:val="8"/>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75">
    <w:name w:val="Placeholder Text"/>
    <w:basedOn w:val="7"/>
    <w:semiHidden/>
    <w:uiPriority w:val="99"/>
    <w:rPr>
      <w:color w:val="808080"/>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39"/>
        <w:style w:val=""/>
        <w:category>
          <w:name w:val="Общие"/>
          <w:gallery w:val="placeholder"/>
        </w:category>
        <w:types>
          <w:type w:val="bbPlcHdr"/>
        </w:types>
        <w:behaviors>
          <w:behavior w:val="content"/>
        </w:behaviors>
        <w:description w:val=""/>
        <w:guid w:val="{C49D30FE-0E13-4FBF-B4B9-6DD3DCB6AC2A}"/>
      </w:docPartPr>
      <w:docPartBody>
        <w:p w14:paraId="5C485B60">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XO Thames">
    <w:altName w:val="Times New Roman"/>
    <w:panose1 w:val="00000000000000000000"/>
    <w:charset w:val="CC"/>
    <w:family w:val="roman"/>
    <w:pitch w:val="default"/>
    <w:sig w:usb0="00000000" w:usb1="00000000" w:usb2="00000000" w:usb3="00000000" w:csb0="00000000" w:csb1="00000000"/>
  </w:font>
  <w:font w:name="XO Thames">
    <w:altName w:val="Segoe Print"/>
    <w:panose1 w:val="00000000000000000000"/>
    <w:charset w:val="00"/>
    <w:family w:val="auto"/>
    <w:pitch w:val="default"/>
    <w:sig w:usb0="00000000" w:usb1="00000000" w:usb2="00000000" w:usb3="00000000" w:csb0="00000000" w:csb1="00000000"/>
  </w:font>
  <w:font w:name="黑体">
    <w:altName w:val="SimSun"/>
    <w:panose1 w:val="000000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03"/>
    <w:rsid w:val="00005CBF"/>
    <w:rsid w:val="00047503"/>
    <w:rsid w:val="00141046"/>
    <w:rsid w:val="001C19FB"/>
    <w:rsid w:val="00382925"/>
    <w:rsid w:val="00432CBE"/>
    <w:rsid w:val="00493C8A"/>
    <w:rsid w:val="005536E9"/>
    <w:rsid w:val="00622068"/>
    <w:rsid w:val="007B7B4A"/>
    <w:rsid w:val="009F40F9"/>
    <w:rsid w:val="00A53682"/>
    <w:rsid w:val="00BD2741"/>
    <w:rsid w:val="00C713E2"/>
    <w:rsid w:val="00DB31A6"/>
    <w:rsid w:val="00DD5725"/>
    <w:rsid w:val="00F37B9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40428-F50D-4220-A6E3-FC41FD6CFC8D}">
  <ds:schemaRefs/>
</ds:datastoreItem>
</file>

<file path=docProps/app.xml><?xml version="1.0" encoding="utf-8"?>
<Properties xmlns="http://schemas.openxmlformats.org/officeDocument/2006/extended-properties" xmlns:vt="http://schemas.openxmlformats.org/officeDocument/2006/docPropsVTypes">
  <Template>Normal.dotm</Template>
  <Company>NIAEP</Company>
  <Pages>9</Pages>
  <Words>3982</Words>
  <Characters>28052</Characters>
  <Lines>229</Lines>
  <Paragraphs>64</Paragraphs>
  <TotalTime>4</TotalTime>
  <ScaleCrop>false</ScaleCrop>
  <LinksUpToDate>false</LinksUpToDate>
  <CharactersWithSpaces>32025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2025-03-26T13:11:00Z</dcterms:created>
  <dc:creator>Платов Алексей Николаевич</dc:creator>
  <cp:lastModifiedBy>Ирина Черникова</cp:lastModifiedBy>
  <cp:lastPrinted>2025-02-06T13:30:00Z</cp:lastPrinted>
  <dcterms:modified xsi:type="dcterms:W3CDTF">2026-10-01T10:55:05Z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eyJoZGlkIjoiNjMzMTc1OGM5YmYzMmZhZGFlMjY0ODk5YTQxNWQyNTgiLCJ1c2VySWQiOiI4NDE4NzQ3OTE2NDMifQ==</vt:lpwstr>
  </property>
  <property fmtid="{D5CDD505-2E9C-101B-9397-08002B2CF9AE}" pid="3" name="KSOProductBuildVer">
    <vt:lpwstr>1049-12.1.0.28485</vt:lpwstr>
  </property>
  <property fmtid="{D5CDD505-2E9C-101B-9397-08002B2CF9AE}" pid="4" name="ICV">
    <vt:lpwstr>5C2E4E1D95BB4AF9951EA06A49C42266_12</vt:lpwstr>
  </property>
</Properties>
</file>